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E6D32" w14:textId="77777777" w:rsidR="001E1A70" w:rsidRPr="001E1A70" w:rsidRDefault="001E1A70" w:rsidP="001E1A70">
      <w:pPr>
        <w:pStyle w:val="Default"/>
        <w:jc w:val="center"/>
        <w:rPr>
          <w:b/>
          <w:bCs/>
          <w:color w:val="0B769F" w:themeColor="accent4" w:themeShade="BF"/>
          <w:sz w:val="36"/>
          <w:szCs w:val="36"/>
        </w:rPr>
      </w:pPr>
      <w:r w:rsidRPr="001E1A70">
        <w:rPr>
          <w:b/>
          <w:bCs/>
          <w:color w:val="0B769F" w:themeColor="accent4" w:themeShade="BF"/>
          <w:sz w:val="36"/>
          <w:szCs w:val="36"/>
        </w:rPr>
        <w:t>Norma Técnica de Calidad de Servicios para Sistemas de Distribución</w:t>
      </w:r>
    </w:p>
    <w:p w14:paraId="0610E14A" w14:textId="77777777" w:rsidR="001E1A70" w:rsidRDefault="001E1A70" w:rsidP="001E1A70">
      <w:pPr>
        <w:pStyle w:val="Default"/>
        <w:rPr>
          <w:b/>
          <w:bCs/>
          <w:sz w:val="28"/>
          <w:szCs w:val="28"/>
        </w:rPr>
      </w:pPr>
    </w:p>
    <w:p w14:paraId="53385EC0" w14:textId="77777777" w:rsidR="001E1A70" w:rsidRDefault="001E1A70" w:rsidP="001E1A70">
      <w:pPr>
        <w:pStyle w:val="Default"/>
        <w:rPr>
          <w:b/>
          <w:bCs/>
          <w:sz w:val="28"/>
          <w:szCs w:val="28"/>
        </w:rPr>
      </w:pPr>
      <w:r>
        <w:rPr>
          <w:b/>
          <w:bCs/>
          <w:sz w:val="28"/>
          <w:szCs w:val="28"/>
        </w:rPr>
        <w:t>TÍTULO 5-1 CONEXIÓN Y AMPLIACIÓN DE SERVICIOS</w:t>
      </w:r>
    </w:p>
    <w:p w14:paraId="7E187D69" w14:textId="4DFF38F1" w:rsidR="001E1A70" w:rsidRDefault="001E1A70" w:rsidP="001E1A70">
      <w:pPr>
        <w:pStyle w:val="Default"/>
        <w:rPr>
          <w:sz w:val="28"/>
          <w:szCs w:val="28"/>
        </w:rPr>
      </w:pPr>
      <w:r>
        <w:rPr>
          <w:b/>
          <w:bCs/>
          <w:sz w:val="28"/>
          <w:szCs w:val="28"/>
        </w:rPr>
        <w:t xml:space="preserve"> </w:t>
      </w:r>
    </w:p>
    <w:p w14:paraId="2B856AA3" w14:textId="0292FCE8" w:rsidR="00C076DC" w:rsidRDefault="00783636" w:rsidP="00C076DC">
      <w:pPr>
        <w:pStyle w:val="Default"/>
        <w:rPr>
          <w:b/>
          <w:bCs/>
          <w:sz w:val="23"/>
          <w:szCs w:val="23"/>
        </w:rPr>
      </w:pPr>
      <w:r>
        <w:rPr>
          <w:b/>
          <w:bCs/>
          <w:sz w:val="23"/>
          <w:szCs w:val="23"/>
        </w:rPr>
        <w:t>Artículo 5-6 Garantías para Caucionar Potencia</w:t>
      </w:r>
    </w:p>
    <w:p w14:paraId="2B8E1475" w14:textId="77777777" w:rsidR="00482550" w:rsidRDefault="00482550" w:rsidP="00C076DC">
      <w:pPr>
        <w:pStyle w:val="Default"/>
        <w:rPr>
          <w:b/>
          <w:bCs/>
          <w:sz w:val="23"/>
          <w:szCs w:val="23"/>
        </w:rPr>
      </w:pPr>
    </w:p>
    <w:p w14:paraId="67AAB33C" w14:textId="77777777" w:rsidR="00482550" w:rsidRDefault="00482550" w:rsidP="00482550">
      <w:pPr>
        <w:pStyle w:val="Default"/>
        <w:jc w:val="both"/>
        <w:rPr>
          <w:sz w:val="23"/>
          <w:szCs w:val="23"/>
        </w:rPr>
      </w:pPr>
      <w:r>
        <w:rPr>
          <w:sz w:val="23"/>
          <w:szCs w:val="23"/>
        </w:rPr>
        <w:t xml:space="preserve">Las Empresas Distribuidoras, de conformidad con el Artículo 126° de la Ley, podrán requerir garantías para caucionar la potencia solicitada, en aquellos casos en que se requiera un aumento de capacidad para una potencia conectada superior a 10 kW. La Empresa Distribuidora deberá determinar el monto de la garantía en base a la potencia requerida por el Requirente, en conformidad a lo indicado en el Artículo 137° del DS327. </w:t>
      </w:r>
    </w:p>
    <w:p w14:paraId="241E4B3D" w14:textId="77777777" w:rsidR="00482550" w:rsidRDefault="00482550" w:rsidP="00482550">
      <w:pPr>
        <w:pStyle w:val="Default"/>
        <w:jc w:val="both"/>
        <w:rPr>
          <w:sz w:val="23"/>
          <w:szCs w:val="23"/>
        </w:rPr>
      </w:pPr>
    </w:p>
    <w:p w14:paraId="1AAAF57E" w14:textId="77777777" w:rsidR="00482550" w:rsidRDefault="00482550" w:rsidP="00482550">
      <w:pPr>
        <w:pStyle w:val="Default"/>
        <w:jc w:val="both"/>
        <w:rPr>
          <w:sz w:val="23"/>
          <w:szCs w:val="23"/>
        </w:rPr>
      </w:pPr>
      <w:r>
        <w:rPr>
          <w:sz w:val="23"/>
          <w:szCs w:val="23"/>
        </w:rPr>
        <w:t xml:space="preserve">Cada vez que la Empresa Distribuidora requiera de garantías, deberá acompañar un contrato de garantías junto con la respuesta a la solicitud de conexión, sea esta individual o múltiple. Este contrato de garantías no podrá contener cláusulas que excedan las facultades otorgadas en la Ley y la presente NT. </w:t>
      </w:r>
    </w:p>
    <w:p w14:paraId="616217A4" w14:textId="77777777" w:rsidR="00482550" w:rsidRDefault="00482550" w:rsidP="00482550">
      <w:pPr>
        <w:pStyle w:val="Default"/>
        <w:jc w:val="both"/>
        <w:rPr>
          <w:sz w:val="23"/>
          <w:szCs w:val="23"/>
        </w:rPr>
      </w:pPr>
    </w:p>
    <w:p w14:paraId="0BA023E8" w14:textId="77777777" w:rsidR="00482550" w:rsidRDefault="00482550" w:rsidP="00482550">
      <w:pPr>
        <w:pStyle w:val="Default"/>
        <w:jc w:val="both"/>
        <w:rPr>
          <w:sz w:val="23"/>
          <w:szCs w:val="23"/>
        </w:rPr>
      </w:pPr>
      <w:r>
        <w:rPr>
          <w:sz w:val="23"/>
          <w:szCs w:val="23"/>
        </w:rPr>
        <w:t>En caso de que las obras adicionales sean financiadas por la Empresa Distribuidora, la garantía tendrá una duración máxima de 8 años, plazo que podrá ser ampliado si la Empresa Distribuidora demuestra que el Cliente utilizó menos del 80% de las potencias convenidas en el contrato en el periodo de 8 años, en cuyo caso podrá ampliar la garantía por 2 años más. Esta ampliación podrá ser permitida por una única vez, en casos debidamente justificados y previo aviso al Usuario y a la Superintendencia.</w:t>
      </w:r>
    </w:p>
    <w:p w14:paraId="2B989D72" w14:textId="61621A84" w:rsidR="00482550" w:rsidRDefault="00482550" w:rsidP="00482550">
      <w:pPr>
        <w:pStyle w:val="Default"/>
        <w:jc w:val="both"/>
        <w:rPr>
          <w:sz w:val="23"/>
          <w:szCs w:val="23"/>
        </w:rPr>
      </w:pPr>
      <w:r>
        <w:rPr>
          <w:sz w:val="23"/>
          <w:szCs w:val="23"/>
        </w:rPr>
        <w:t xml:space="preserve"> </w:t>
      </w:r>
    </w:p>
    <w:p w14:paraId="18DCDA82" w14:textId="77777777" w:rsidR="00482550" w:rsidRDefault="00482550" w:rsidP="00482550">
      <w:pPr>
        <w:pStyle w:val="Default"/>
        <w:jc w:val="both"/>
        <w:rPr>
          <w:sz w:val="23"/>
          <w:szCs w:val="23"/>
        </w:rPr>
      </w:pPr>
      <w:r>
        <w:rPr>
          <w:sz w:val="23"/>
          <w:szCs w:val="23"/>
        </w:rPr>
        <w:t xml:space="preserve">La Empresa Distribuidora, anualmente, deberá verificar si las obras adicionales que fueron caucionadas están siendo utilizadas por el Usuario. El uso de la potencia caucionada será calculado de acuerdo con la siguiente expresión: </w:t>
      </w:r>
    </w:p>
    <w:p w14:paraId="7DF28534" w14:textId="77777777" w:rsidR="00482550" w:rsidRDefault="00482550" w:rsidP="00482550">
      <w:pPr>
        <w:pStyle w:val="Default"/>
        <w:jc w:val="both"/>
        <w:rPr>
          <w:sz w:val="23"/>
          <w:szCs w:val="23"/>
        </w:rPr>
      </w:pPr>
    </w:p>
    <w:p w14:paraId="78E83E50" w14:textId="77777777" w:rsidR="00482550" w:rsidRDefault="00482550" w:rsidP="00482550">
      <w:pPr>
        <w:pStyle w:val="Default"/>
        <w:rPr>
          <w:color w:val="auto"/>
          <w:sz w:val="23"/>
          <w:szCs w:val="23"/>
        </w:rPr>
      </w:pPr>
      <w:r>
        <w:rPr>
          <w:rFonts w:ascii="Cambria Math" w:hAnsi="Cambria Math" w:cs="Cambria Math"/>
          <w:color w:val="auto"/>
          <w:sz w:val="23"/>
          <w:szCs w:val="23"/>
        </w:rPr>
        <w:t>𝑈𝑃𝐶</w:t>
      </w:r>
      <w:r>
        <w:rPr>
          <w:rFonts w:ascii="Cambria Math" w:hAnsi="Cambria Math" w:cs="Cambria Math"/>
          <w:color w:val="auto"/>
          <w:sz w:val="17"/>
          <w:szCs w:val="17"/>
        </w:rPr>
        <w:t xml:space="preserve">𝑎ñ𝑜 𝑖 </w:t>
      </w:r>
      <w:r>
        <w:rPr>
          <w:rFonts w:ascii="Cambria Math" w:hAnsi="Cambria Math" w:cs="Cambria Math"/>
          <w:color w:val="auto"/>
          <w:sz w:val="23"/>
          <w:szCs w:val="23"/>
        </w:rPr>
        <w:t>= 𝑃𝑃𝑚𝑎𝑥</w:t>
      </w:r>
      <w:r>
        <w:rPr>
          <w:rFonts w:ascii="Cambria Math" w:hAnsi="Cambria Math" w:cs="Cambria Math"/>
          <w:color w:val="auto"/>
          <w:sz w:val="17"/>
          <w:szCs w:val="17"/>
        </w:rPr>
        <w:t>𝑎ñ𝑜 𝑖</w:t>
      </w:r>
      <w:r>
        <w:rPr>
          <w:rFonts w:ascii="Cambria Math" w:hAnsi="Cambria Math" w:cs="Cambria Math"/>
          <w:color w:val="auto"/>
          <w:sz w:val="23"/>
          <w:szCs w:val="23"/>
        </w:rPr>
        <w:t xml:space="preserve">𝑃𝐶𝑜𝑛𝑣𝑒𝑛𝑖𝑑𝑎 </w:t>
      </w:r>
    </w:p>
    <w:tbl>
      <w:tblPr>
        <w:tblW w:w="9356" w:type="dxa"/>
        <w:tblInd w:w="82"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985"/>
        <w:gridCol w:w="7371"/>
      </w:tblGrid>
      <w:tr w:rsidR="00482550" w14:paraId="1ED8A333" w14:textId="77777777" w:rsidTr="00482550">
        <w:tblPrEx>
          <w:tblCellMar>
            <w:top w:w="0" w:type="dxa"/>
            <w:bottom w:w="0" w:type="dxa"/>
          </w:tblCellMar>
        </w:tblPrEx>
        <w:trPr>
          <w:trHeight w:val="136"/>
        </w:trPr>
        <w:tc>
          <w:tcPr>
            <w:tcW w:w="1985" w:type="dxa"/>
            <w:tcBorders>
              <w:top w:val="none" w:sz="6" w:space="0" w:color="auto"/>
              <w:bottom w:val="none" w:sz="6" w:space="0" w:color="auto"/>
              <w:right w:val="none" w:sz="6" w:space="0" w:color="auto"/>
            </w:tcBorders>
          </w:tcPr>
          <w:p w14:paraId="00AB7C60" w14:textId="77777777" w:rsidR="00482550" w:rsidRDefault="00482550">
            <w:pPr>
              <w:pStyle w:val="Default"/>
              <w:rPr>
                <w:rFonts w:ascii="Cambria Math" w:hAnsi="Cambria Math" w:cs="Cambria Math"/>
                <w:sz w:val="23"/>
                <w:szCs w:val="23"/>
              </w:rPr>
            </w:pPr>
            <w:r>
              <w:rPr>
                <w:color w:val="auto"/>
                <w:sz w:val="23"/>
                <w:szCs w:val="23"/>
              </w:rPr>
              <w:t xml:space="preserve">Donde: </w:t>
            </w:r>
            <w:r>
              <w:rPr>
                <w:rFonts w:ascii="Cambria Math" w:hAnsi="Cambria Math" w:cs="Cambria Math"/>
                <w:sz w:val="23"/>
                <w:szCs w:val="23"/>
              </w:rPr>
              <w:t xml:space="preserve">𝑈𝑃𝐶𝑎ñ𝑜 𝑖 </w:t>
            </w:r>
          </w:p>
        </w:tc>
        <w:tc>
          <w:tcPr>
            <w:tcW w:w="7371" w:type="dxa"/>
            <w:tcBorders>
              <w:top w:val="none" w:sz="6" w:space="0" w:color="auto"/>
              <w:left w:val="none" w:sz="6" w:space="0" w:color="auto"/>
              <w:bottom w:val="none" w:sz="6" w:space="0" w:color="auto"/>
            </w:tcBorders>
          </w:tcPr>
          <w:p w14:paraId="4DCF2559" w14:textId="77777777" w:rsidR="00482550" w:rsidRDefault="00482550">
            <w:pPr>
              <w:pStyle w:val="Default"/>
              <w:rPr>
                <w:sz w:val="23"/>
                <w:szCs w:val="23"/>
              </w:rPr>
            </w:pPr>
            <w:r>
              <w:rPr>
                <w:sz w:val="23"/>
                <w:szCs w:val="23"/>
              </w:rPr>
              <w:t xml:space="preserve">: Utilización de la potencia caucionada en año </w:t>
            </w:r>
            <w:r>
              <w:rPr>
                <w:rFonts w:ascii="Cambria Math" w:hAnsi="Cambria Math" w:cs="Cambria Math"/>
                <w:sz w:val="23"/>
                <w:szCs w:val="23"/>
              </w:rPr>
              <w:t xml:space="preserve">𝑖 </w:t>
            </w:r>
            <w:r>
              <w:rPr>
                <w:sz w:val="23"/>
                <w:szCs w:val="23"/>
              </w:rPr>
              <w:t xml:space="preserve">en %. </w:t>
            </w:r>
          </w:p>
        </w:tc>
      </w:tr>
      <w:tr w:rsidR="00482550" w14:paraId="56B88048" w14:textId="77777777" w:rsidTr="00482550">
        <w:tblPrEx>
          <w:tblCellMar>
            <w:top w:w="0" w:type="dxa"/>
            <w:bottom w:w="0" w:type="dxa"/>
          </w:tblCellMar>
        </w:tblPrEx>
        <w:trPr>
          <w:trHeight w:val="1001"/>
        </w:trPr>
        <w:tc>
          <w:tcPr>
            <w:tcW w:w="1985" w:type="dxa"/>
            <w:tcBorders>
              <w:top w:val="none" w:sz="6" w:space="0" w:color="auto"/>
              <w:bottom w:val="none" w:sz="6" w:space="0" w:color="auto"/>
              <w:right w:val="none" w:sz="6" w:space="0" w:color="auto"/>
            </w:tcBorders>
          </w:tcPr>
          <w:p w14:paraId="77F98EA0" w14:textId="77777777" w:rsidR="00482550" w:rsidRDefault="00482550">
            <w:pPr>
              <w:pStyle w:val="Default"/>
              <w:rPr>
                <w:rFonts w:ascii="Cambria Math" w:hAnsi="Cambria Math" w:cs="Cambria Math"/>
                <w:sz w:val="23"/>
                <w:szCs w:val="23"/>
              </w:rPr>
            </w:pPr>
            <w:r>
              <w:rPr>
                <w:rFonts w:ascii="Cambria Math" w:hAnsi="Cambria Math" w:cs="Cambria Math"/>
                <w:sz w:val="23"/>
                <w:szCs w:val="23"/>
              </w:rPr>
              <w:t xml:space="preserve">𝑃𝑃𝑚𝑎𝑥𝑎ñ𝑜 𝑖 </w:t>
            </w:r>
          </w:p>
        </w:tc>
        <w:tc>
          <w:tcPr>
            <w:tcW w:w="7371" w:type="dxa"/>
            <w:tcBorders>
              <w:top w:val="none" w:sz="6" w:space="0" w:color="auto"/>
              <w:left w:val="none" w:sz="6" w:space="0" w:color="auto"/>
              <w:bottom w:val="none" w:sz="6" w:space="0" w:color="auto"/>
            </w:tcBorders>
          </w:tcPr>
          <w:p w14:paraId="3BE18BAF" w14:textId="5BED1BDE" w:rsidR="00482550" w:rsidRDefault="00482550" w:rsidP="00482550">
            <w:pPr>
              <w:pStyle w:val="Default"/>
              <w:jc w:val="both"/>
              <w:rPr>
                <w:sz w:val="23"/>
                <w:szCs w:val="23"/>
              </w:rPr>
            </w:pPr>
            <w:r>
              <w:rPr>
                <w:sz w:val="23"/>
                <w:szCs w:val="23"/>
              </w:rPr>
              <w:t xml:space="preserve">: Promedio de las dos más altas demandas máximas de potencia registradas durante los 12 meses del año i, expresada en </w:t>
            </w:r>
            <w:r>
              <w:rPr>
                <w:rFonts w:ascii="Cambria Math" w:hAnsi="Cambria Math" w:cs="Cambria Math"/>
                <w:sz w:val="23"/>
                <w:szCs w:val="23"/>
              </w:rPr>
              <w:t>𝑘𝑊</w:t>
            </w:r>
            <w:r>
              <w:rPr>
                <w:sz w:val="23"/>
                <w:szCs w:val="23"/>
              </w:rPr>
              <w:t xml:space="preserve">. Se entenderá por demanda máxima de potencia, al valor más alto de las demandas integradas en periodos sucesivos de 15 minutos dentro de un mes. En caso de no contar con un medidor de estas características, se podrá reemplazar por el promedio de la demanda máxima de potencia contratada para el año </w:t>
            </w:r>
            <w:r>
              <w:rPr>
                <w:rFonts w:ascii="Cambria Math" w:hAnsi="Cambria Math" w:cs="Cambria Math"/>
                <w:sz w:val="23"/>
                <w:szCs w:val="23"/>
              </w:rPr>
              <w:t xml:space="preserve">𝑖 </w:t>
            </w:r>
            <w:r>
              <w:rPr>
                <w:sz w:val="23"/>
                <w:szCs w:val="23"/>
              </w:rPr>
              <w:t>indicada en su tarifa.</w:t>
            </w:r>
          </w:p>
        </w:tc>
      </w:tr>
      <w:tr w:rsidR="00482550" w14:paraId="416516AD" w14:textId="77777777" w:rsidTr="00482550">
        <w:tblPrEx>
          <w:tblCellMar>
            <w:top w:w="0" w:type="dxa"/>
            <w:bottom w:w="0" w:type="dxa"/>
          </w:tblCellMar>
        </w:tblPrEx>
        <w:trPr>
          <w:trHeight w:val="123"/>
        </w:trPr>
        <w:tc>
          <w:tcPr>
            <w:tcW w:w="1985" w:type="dxa"/>
            <w:tcBorders>
              <w:top w:val="none" w:sz="6" w:space="0" w:color="auto"/>
              <w:bottom w:val="none" w:sz="6" w:space="0" w:color="auto"/>
              <w:right w:val="none" w:sz="6" w:space="0" w:color="auto"/>
            </w:tcBorders>
          </w:tcPr>
          <w:p w14:paraId="7F1E1D79" w14:textId="77777777" w:rsidR="00482550" w:rsidRDefault="00482550">
            <w:pPr>
              <w:pStyle w:val="Default"/>
              <w:rPr>
                <w:rFonts w:ascii="Cambria Math" w:hAnsi="Cambria Math" w:cs="Cambria Math"/>
                <w:sz w:val="23"/>
                <w:szCs w:val="23"/>
              </w:rPr>
            </w:pPr>
            <w:r>
              <w:rPr>
                <w:rFonts w:ascii="Cambria Math" w:hAnsi="Cambria Math" w:cs="Cambria Math"/>
                <w:sz w:val="23"/>
                <w:szCs w:val="23"/>
              </w:rPr>
              <w:t xml:space="preserve">𝑃𝐶𝑜𝑛𝑣𝑒𝑛𝑖𝑑𝑎 </w:t>
            </w:r>
          </w:p>
        </w:tc>
        <w:tc>
          <w:tcPr>
            <w:tcW w:w="7371" w:type="dxa"/>
            <w:tcBorders>
              <w:top w:val="none" w:sz="6" w:space="0" w:color="auto"/>
              <w:left w:val="none" w:sz="6" w:space="0" w:color="auto"/>
              <w:bottom w:val="none" w:sz="6" w:space="0" w:color="auto"/>
            </w:tcBorders>
          </w:tcPr>
          <w:p w14:paraId="415DAA8F" w14:textId="77777777" w:rsidR="00482550" w:rsidRDefault="00482550">
            <w:pPr>
              <w:pStyle w:val="Default"/>
              <w:rPr>
                <w:sz w:val="23"/>
                <w:szCs w:val="23"/>
              </w:rPr>
            </w:pPr>
            <w:r>
              <w:rPr>
                <w:sz w:val="23"/>
                <w:szCs w:val="23"/>
              </w:rPr>
              <w:t xml:space="preserve">: Potencia convenida en el contrato, expresada en </w:t>
            </w:r>
            <w:r>
              <w:rPr>
                <w:rFonts w:ascii="Cambria Math" w:hAnsi="Cambria Math" w:cs="Cambria Math"/>
                <w:sz w:val="23"/>
                <w:szCs w:val="23"/>
              </w:rPr>
              <w:t>𝑘𝑊</w:t>
            </w:r>
            <w:r>
              <w:rPr>
                <w:sz w:val="23"/>
                <w:szCs w:val="23"/>
              </w:rPr>
              <w:t xml:space="preserve">. </w:t>
            </w:r>
          </w:p>
        </w:tc>
      </w:tr>
    </w:tbl>
    <w:p w14:paraId="788EABD5" w14:textId="77777777" w:rsidR="00482550" w:rsidRDefault="00482550" w:rsidP="00C076DC">
      <w:pPr>
        <w:pStyle w:val="Default"/>
        <w:rPr>
          <w:sz w:val="23"/>
          <w:szCs w:val="23"/>
        </w:rPr>
      </w:pPr>
    </w:p>
    <w:p w14:paraId="277D4592" w14:textId="77777777" w:rsidR="00482550" w:rsidRDefault="00482550" w:rsidP="00482550">
      <w:pPr>
        <w:pStyle w:val="Default"/>
        <w:jc w:val="both"/>
        <w:rPr>
          <w:sz w:val="23"/>
          <w:szCs w:val="23"/>
        </w:rPr>
      </w:pPr>
      <w:r>
        <w:rPr>
          <w:sz w:val="23"/>
          <w:szCs w:val="23"/>
        </w:rPr>
        <w:t>Si el uso de la potencia caucionada (</w:t>
      </w:r>
      <w:r>
        <w:rPr>
          <w:rFonts w:ascii="Cambria Math" w:hAnsi="Cambria Math" w:cs="Cambria Math"/>
          <w:sz w:val="23"/>
          <w:szCs w:val="23"/>
        </w:rPr>
        <w:t>𝑈𝑃𝐶</w:t>
      </w:r>
      <w:r>
        <w:rPr>
          <w:sz w:val="23"/>
          <w:szCs w:val="23"/>
        </w:rPr>
        <w:t xml:space="preserve">) en el año </w:t>
      </w:r>
      <w:r>
        <w:rPr>
          <w:rFonts w:ascii="Cambria Math" w:hAnsi="Cambria Math" w:cs="Cambria Math"/>
          <w:sz w:val="23"/>
          <w:szCs w:val="23"/>
        </w:rPr>
        <w:t xml:space="preserve">𝑖 </w:t>
      </w:r>
      <w:r>
        <w:rPr>
          <w:sz w:val="23"/>
          <w:szCs w:val="23"/>
        </w:rPr>
        <w:t xml:space="preserve">es igual o superior al 80%, la Empresa Distribuidora deberá reintegrar un octavo de la garantía inicial al Usuario, dentro de los 30 días hábiles contados desde la verificación de utilización de las obras. Los resultados de estas verificaciones anuales deberán ser informados al Usuario con copia a la Superintendencia. </w:t>
      </w:r>
    </w:p>
    <w:p w14:paraId="10375B2C" w14:textId="169EA23D" w:rsidR="00482550" w:rsidRDefault="00482550" w:rsidP="00482550">
      <w:pPr>
        <w:pStyle w:val="Default"/>
        <w:jc w:val="both"/>
        <w:rPr>
          <w:sz w:val="23"/>
          <w:szCs w:val="23"/>
        </w:rPr>
      </w:pPr>
      <w:r>
        <w:rPr>
          <w:sz w:val="23"/>
          <w:szCs w:val="23"/>
        </w:rPr>
        <w:lastRenderedPageBreak/>
        <w:t>Si la Empresa Distribuidora, en el transcurso de un periodo de 8 años desde la conexión del Cliente, detectara que el Usuario no utilizó al menos el 80% de las obras adicionales que fueron caucionadas, podrá renovar la garantía por un periodo de 2 años más o ejecutar la garantía</w:t>
      </w:r>
      <w:r w:rsidRPr="00482550">
        <w:rPr>
          <w:sz w:val="23"/>
          <w:szCs w:val="23"/>
        </w:rPr>
        <w:t xml:space="preserve"> </w:t>
      </w:r>
      <w:r>
        <w:rPr>
          <w:sz w:val="23"/>
          <w:szCs w:val="23"/>
        </w:rPr>
        <w:t xml:space="preserve">respecto de la parte de las obras adicionales que fueron caucionadas y que no fueron utilizadas por el Cliente durante ese periodo. Sin perjuicio de lo anterior, el Usuario podrá realizar un Reclamo ante la Superintendencia. </w:t>
      </w:r>
    </w:p>
    <w:p w14:paraId="36B155AA" w14:textId="77777777" w:rsidR="00482550" w:rsidRDefault="00482550" w:rsidP="00482550">
      <w:pPr>
        <w:pStyle w:val="Default"/>
        <w:jc w:val="both"/>
        <w:rPr>
          <w:sz w:val="23"/>
          <w:szCs w:val="23"/>
        </w:rPr>
      </w:pPr>
      <w:r>
        <w:rPr>
          <w:sz w:val="23"/>
          <w:szCs w:val="23"/>
        </w:rPr>
        <w:t xml:space="preserve">Anualmente, la Empresa Distribuidora deberá informar las garantías que hubiese ejecutado a la Superintendencia, en los formatos y medios que esta disponga. </w:t>
      </w:r>
    </w:p>
    <w:p w14:paraId="3F22D5A8" w14:textId="77777777" w:rsidR="00482550" w:rsidRDefault="00482550" w:rsidP="00482550">
      <w:pPr>
        <w:pStyle w:val="Default"/>
        <w:jc w:val="both"/>
        <w:rPr>
          <w:sz w:val="23"/>
          <w:szCs w:val="23"/>
        </w:rPr>
      </w:pPr>
    </w:p>
    <w:p w14:paraId="4C303AD1" w14:textId="77777777" w:rsidR="00482550" w:rsidRDefault="00482550" w:rsidP="00482550">
      <w:pPr>
        <w:pStyle w:val="Default"/>
        <w:jc w:val="both"/>
        <w:rPr>
          <w:sz w:val="23"/>
          <w:szCs w:val="23"/>
        </w:rPr>
      </w:pPr>
      <w:r>
        <w:rPr>
          <w:sz w:val="23"/>
          <w:szCs w:val="23"/>
        </w:rPr>
        <w:t xml:space="preserve">Cuando el Requirente haya entregado la garantía, la Empresa Distribuidora no podrá condicionar la ejecución de las obras en las Redes de Distribución a la entrega por parte del Requirente de cualquiera de los antecedentes contenidos en la notificación de conexión o ampliación indicada en el numeral 3 del Artículo 5-4 y Artículo 5-5, para conexiones individuales y múltiples, respectivamente, según corresponda. Los referidos antecedentes solo serán exigibles cuando el Requirente realice la notificación de conexión o ampliación. </w:t>
      </w:r>
    </w:p>
    <w:p w14:paraId="521DA071" w14:textId="77777777" w:rsidR="00482550" w:rsidRDefault="00482550" w:rsidP="00482550">
      <w:pPr>
        <w:pStyle w:val="Default"/>
        <w:jc w:val="both"/>
        <w:rPr>
          <w:sz w:val="23"/>
          <w:szCs w:val="23"/>
        </w:rPr>
      </w:pPr>
    </w:p>
    <w:p w14:paraId="714D3884" w14:textId="77777777" w:rsidR="00482550" w:rsidRDefault="00482550" w:rsidP="00482550">
      <w:pPr>
        <w:pStyle w:val="Default"/>
        <w:jc w:val="both"/>
        <w:rPr>
          <w:sz w:val="23"/>
          <w:szCs w:val="23"/>
        </w:rPr>
      </w:pPr>
      <w:r>
        <w:rPr>
          <w:sz w:val="23"/>
          <w:szCs w:val="23"/>
        </w:rPr>
        <w:t xml:space="preserve">Los plazos de ejecución de las obras adicionales serán contabilizados desde la entrega de la garantía por parte del Requirente y en ningún caso podrán ser superiores a los establecidos en la Tabla 19 “Plazos máximos para la conexión o ampliación de servicios individuales” o la Tabla 20 “Plazos máximos para la conexión de suministros múltiples”, según corresponda. </w:t>
      </w:r>
    </w:p>
    <w:p w14:paraId="18EB0650" w14:textId="77777777" w:rsidR="00482550" w:rsidRDefault="00482550" w:rsidP="00482550">
      <w:pPr>
        <w:pStyle w:val="Default"/>
        <w:jc w:val="both"/>
        <w:rPr>
          <w:sz w:val="23"/>
          <w:szCs w:val="23"/>
        </w:rPr>
      </w:pPr>
    </w:p>
    <w:p w14:paraId="3A7E22EE" w14:textId="77777777" w:rsidR="00482550" w:rsidRDefault="00482550" w:rsidP="00482550">
      <w:pPr>
        <w:pStyle w:val="Default"/>
        <w:jc w:val="both"/>
        <w:rPr>
          <w:sz w:val="23"/>
          <w:szCs w:val="23"/>
        </w:rPr>
      </w:pPr>
      <w:r>
        <w:rPr>
          <w:sz w:val="23"/>
          <w:szCs w:val="23"/>
        </w:rPr>
        <w:t xml:space="preserve">La Empresa Distribuidora deberá notificar de forma oportuna y diligente al Requirente la finalización de las obras convenidas en la garantía, con la finalidad de que este pueda realizar los trámites de notificación de conexión o ampliación indicados en el numeral 3 del Artículo 5-4 y Artículo 5-5, para conexiones individuales y múltiples, respectivamente, según corresponda. La notificación al Requirente por parte de la Empresa Distribuidora no podrá exceder los 5 días hábiles desde el momento de la finalización de las obras. </w:t>
      </w:r>
    </w:p>
    <w:p w14:paraId="2E038537" w14:textId="77777777" w:rsidR="00482550" w:rsidRDefault="00482550" w:rsidP="00482550">
      <w:pPr>
        <w:pStyle w:val="Default"/>
        <w:jc w:val="both"/>
        <w:rPr>
          <w:sz w:val="23"/>
          <w:szCs w:val="23"/>
        </w:rPr>
      </w:pPr>
    </w:p>
    <w:p w14:paraId="0489C4D7" w14:textId="140ECB6C" w:rsidR="00482550" w:rsidRDefault="00482550" w:rsidP="00482550">
      <w:pPr>
        <w:pStyle w:val="Default"/>
        <w:jc w:val="both"/>
        <w:rPr>
          <w:sz w:val="23"/>
          <w:szCs w:val="23"/>
        </w:rPr>
      </w:pPr>
      <w:r>
        <w:rPr>
          <w:sz w:val="23"/>
          <w:szCs w:val="23"/>
        </w:rPr>
        <w:t>Cuando el Requirente haya entregado una garantía para adelantar las obras adicionales en las Redes de Distribución y estas fueron ejecutadas antes que el Requirente presente la notificación de conexión o ampliación indicada en el numeral 3 del Artículo 5-4 y Artículo 5-5, para conexiones individuales y múltiples, respectivamente y según corresponda, los plazos que aplicarán para la conexión de las obras por parte de la Empresa Distribuidora corresponderá a los indicados en el literal a) de la Tabla 19 o literal a) de la Tabla 20</w:t>
      </w:r>
      <w:r>
        <w:rPr>
          <w:i/>
          <w:iCs/>
          <w:sz w:val="23"/>
          <w:szCs w:val="23"/>
        </w:rPr>
        <w:t xml:space="preserve">, </w:t>
      </w:r>
      <w:r>
        <w:rPr>
          <w:sz w:val="23"/>
          <w:szCs w:val="23"/>
        </w:rPr>
        <w:t xml:space="preserve">según corresponda, contados desde la presentación de la notificación por parte del Requirente. </w:t>
      </w:r>
      <w:r>
        <w:rPr>
          <w:sz w:val="23"/>
          <w:szCs w:val="23"/>
        </w:rPr>
        <w:t xml:space="preserve"> </w:t>
      </w:r>
    </w:p>
    <w:sectPr w:rsidR="00482550" w:rsidSect="008E1C07">
      <w:pgSz w:w="12240" w:h="15840"/>
      <w:pgMar w:top="1417" w:right="1325"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altName w:val="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360EFC"/>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1A486BBB">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4F45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33E2945"/>
    <w:multiLevelType w:val="hybridMultilevel"/>
    <w:tmpl w:val="FFFFFFFF"/>
    <w:lvl w:ilvl="0" w:tplc="FFFFFFFF">
      <w:start w:val="1"/>
      <w:numFmt w:val="decimal"/>
      <w:lvlText w:val="%1."/>
      <w:lvlJc w:val="left"/>
    </w:lvl>
    <w:lvl w:ilvl="1" w:tplc="A3156EEC">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9AA005F"/>
    <w:multiLevelType w:val="hybridMultilevel"/>
    <w:tmpl w:val="FFFFFFFF"/>
    <w:lvl w:ilvl="0" w:tplc="FFFFFFFF">
      <w:start w:val="1"/>
      <w:numFmt w:val="ideographDigital"/>
      <w:lvlText w:val=""/>
      <w:lvlJc w:val="left"/>
    </w:lvl>
    <w:lvl w:ilvl="1" w:tplc="CE50B64E">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07D7A82"/>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0A4F4C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B716E23"/>
    <w:multiLevelType w:val="hybridMultilevel"/>
    <w:tmpl w:val="FFFFFFFF"/>
    <w:lvl w:ilvl="0" w:tplc="FFFFFFFF">
      <w:start w:val="1"/>
      <w:numFmt w:val="ideographDigital"/>
      <w:lvlText w:val=""/>
      <w:lvlJc w:val="left"/>
    </w:lvl>
    <w:lvl w:ilvl="1" w:tplc="FFFFFFFF">
      <w:start w:val="1"/>
      <w:numFmt w:val="lowerLetter"/>
      <w:lvlText w:val=""/>
      <w:lvlJc w:val="left"/>
    </w:lvl>
    <w:lvl w:ilvl="2" w:tplc="367AF46A">
      <w:start w:val="1"/>
      <w:numFmt w:val="lowerRoman"/>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BC5F549"/>
    <w:multiLevelType w:val="hybridMultilevel"/>
    <w:tmpl w:val="FFFFFFFF"/>
    <w:lvl w:ilvl="0" w:tplc="FFFFFFFF">
      <w:start w:val="1"/>
      <w:numFmt w:val="bullet"/>
      <w:lvlText w:val="•"/>
      <w:lvlJc w:val="left"/>
    </w:lvl>
    <w:lvl w:ilvl="1" w:tplc="DB8A4F0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CAE5D7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0B64A51"/>
    <w:multiLevelType w:val="hybridMultilevel"/>
    <w:tmpl w:val="FFFFFFFF"/>
    <w:lvl w:ilvl="0" w:tplc="FFFFFFFF">
      <w:start w:val="1"/>
      <w:numFmt w:val="bullet"/>
      <w:lvlText w:val="•"/>
      <w:lvlJc w:val="left"/>
    </w:lvl>
    <w:lvl w:ilvl="1" w:tplc="3B216421">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AB88D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BA6938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BC3842A"/>
    <w:multiLevelType w:val="hybridMultilevel"/>
    <w:tmpl w:val="F72A934C"/>
    <w:lvl w:ilvl="0" w:tplc="FFFFFFFF">
      <w:start w:val="1"/>
      <w:numFmt w:val="decimal"/>
      <w:lvlText w:val="%1."/>
      <w:lvlJc w:val="left"/>
    </w:lvl>
    <w:lvl w:ilvl="1" w:tplc="FFFFFFFF">
      <w:start w:val="1"/>
      <w:numFmt w:val="lowerLetter"/>
      <w:lvlText w:val="."/>
      <w:lvlJc w:val="left"/>
    </w:lvl>
    <w:lvl w:ilvl="2" w:tplc="4FC6E82E">
      <w:start w:val="1"/>
      <w:numFmt w:val="lowerRoman"/>
      <w:lvlText w:val="%3-"/>
      <w:lvlJc w:val="left"/>
      <w:rPr>
        <w:rFonts w:ascii="Calibri" w:eastAsiaTheme="minorHAnsi" w:hAnsi="Calibri" w:cs="Calibri"/>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00E70B8"/>
    <w:multiLevelType w:val="hybridMultilevel"/>
    <w:tmpl w:val="FFFFFFFF"/>
    <w:lvl w:ilvl="0" w:tplc="FFFFFFFF">
      <w:start w:val="1"/>
      <w:numFmt w:val="ideographDigital"/>
      <w:lvlText w:val=""/>
      <w:lvlJc w:val="left"/>
    </w:lvl>
    <w:lvl w:ilvl="1" w:tplc="5FCF5E26">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22083E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375475E"/>
    <w:multiLevelType w:val="hybridMultilevel"/>
    <w:tmpl w:val="C17641EE"/>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BEF053A"/>
    <w:multiLevelType w:val="multilevel"/>
    <w:tmpl w:val="7BEA4846"/>
    <w:lvl w:ilvl="0">
      <w:start w:val="1"/>
      <w:numFmt w:val="decimal"/>
      <w:lvlText w:val="%1"/>
      <w:lvlJc w:val="left"/>
      <w:pPr>
        <w:ind w:left="480" w:hanging="480"/>
      </w:pPr>
      <w:rPr>
        <w:rFonts w:hint="default"/>
      </w:rPr>
    </w:lvl>
    <w:lvl w:ilvl="1">
      <w:start w:val="2"/>
      <w:numFmt w:val="decimal"/>
      <w:lvlText w:val="%1.%2"/>
      <w:lvlJc w:val="left"/>
      <w:pPr>
        <w:ind w:left="946" w:hanging="480"/>
      </w:pPr>
      <w:rPr>
        <w:rFonts w:hint="default"/>
      </w:rPr>
    </w:lvl>
    <w:lvl w:ilvl="2">
      <w:start w:val="4"/>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17" w15:restartNumberingAfterBreak="0">
    <w:nsid w:val="0F5B591D"/>
    <w:multiLevelType w:val="hybridMultilevel"/>
    <w:tmpl w:val="D3223596"/>
    <w:lvl w:ilvl="0" w:tplc="34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10E813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0F2E725"/>
    <w:multiLevelType w:val="hybridMultilevel"/>
    <w:tmpl w:val="FFFFFFFF"/>
    <w:lvl w:ilvl="0" w:tplc="FFFFFFFF">
      <w:start w:val="1"/>
      <w:numFmt w:val="ideographDigital"/>
      <w:lvlText w:val=""/>
      <w:lvlJc w:val="left"/>
    </w:lvl>
    <w:lvl w:ilvl="1" w:tplc="96749C82">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20907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6ED283F"/>
    <w:multiLevelType w:val="hybridMultilevel"/>
    <w:tmpl w:val="B4582DD0"/>
    <w:lvl w:ilvl="0" w:tplc="1B48F7D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9452786"/>
    <w:multiLevelType w:val="hybridMultilevel"/>
    <w:tmpl w:val="2AC8BC30"/>
    <w:lvl w:ilvl="0" w:tplc="4D506B4C">
      <w:start w:val="1"/>
      <w:numFmt w:val="bullet"/>
      <w:lvlText w:val="-"/>
      <w:lvlJc w:val="left"/>
      <w:pPr>
        <w:ind w:left="1440" w:hanging="360"/>
      </w:pPr>
      <w:rPr>
        <w:rFonts w:ascii="Arial" w:eastAsiaTheme="minorHAns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3" w15:restartNumberingAfterBreak="0">
    <w:nsid w:val="1EF54B15"/>
    <w:multiLevelType w:val="hybridMultilevel"/>
    <w:tmpl w:val="2362F088"/>
    <w:lvl w:ilvl="0" w:tplc="9BC8F546">
      <w:start w:val="8"/>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21440D4A"/>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C5929FD1">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24B4229"/>
    <w:multiLevelType w:val="multilevel"/>
    <w:tmpl w:val="C60A29D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6" w15:restartNumberingAfterBreak="0">
    <w:nsid w:val="226E17B3"/>
    <w:multiLevelType w:val="multilevel"/>
    <w:tmpl w:val="ACE429F0"/>
    <w:lvl w:ilvl="0">
      <w:start w:val="1"/>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27" w15:restartNumberingAfterBreak="0">
    <w:nsid w:val="22B77EEA"/>
    <w:multiLevelType w:val="multilevel"/>
    <w:tmpl w:val="7744F766"/>
    <w:lvl w:ilvl="0">
      <w:start w:val="2"/>
      <w:numFmt w:val="decimal"/>
      <w:lvlText w:val="%1"/>
      <w:lvlJc w:val="left"/>
      <w:pPr>
        <w:ind w:left="360" w:hanging="360"/>
      </w:pPr>
      <w:rPr>
        <w:rFonts w:hint="default"/>
        <w:sz w:val="24"/>
      </w:rPr>
    </w:lvl>
    <w:lvl w:ilvl="1">
      <w:start w:val="2"/>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8" w15:restartNumberingAfterBreak="0">
    <w:nsid w:val="2783B672"/>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32FE1970">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B3F530D"/>
    <w:multiLevelType w:val="multilevel"/>
    <w:tmpl w:val="CA3011E0"/>
    <w:lvl w:ilvl="0">
      <w:start w:val="1"/>
      <w:numFmt w:val="decimal"/>
      <w:lvlText w:val="%1"/>
      <w:lvlJc w:val="left"/>
      <w:pPr>
        <w:ind w:left="480" w:hanging="480"/>
      </w:pPr>
      <w:rPr>
        <w:rFonts w:hint="default"/>
      </w:rPr>
    </w:lvl>
    <w:lvl w:ilvl="1">
      <w:start w:val="3"/>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0" w15:restartNumberingAfterBreak="0">
    <w:nsid w:val="2F9F8204"/>
    <w:multiLevelType w:val="hybridMultilevel"/>
    <w:tmpl w:val="FFFFFFFF"/>
    <w:lvl w:ilvl="0" w:tplc="FFFFFFFF">
      <w:start w:val="1"/>
      <w:numFmt w:val="bullet"/>
      <w:lvlText w:val="•"/>
      <w:lvlJc w:val="left"/>
    </w:lvl>
    <w:lvl w:ilvl="1" w:tplc="80D5F46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083402B"/>
    <w:multiLevelType w:val="multilevel"/>
    <w:tmpl w:val="E20A2DD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32598C19"/>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33B402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99E1374"/>
    <w:multiLevelType w:val="hybridMultilevel"/>
    <w:tmpl w:val="8CB0AD7A"/>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E7E2964"/>
    <w:multiLevelType w:val="hybridMultilevel"/>
    <w:tmpl w:val="E5B619A2"/>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27D609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A44F5EF"/>
    <w:multiLevelType w:val="hybridMultilevel"/>
    <w:tmpl w:val="E9003D22"/>
    <w:lvl w:ilvl="0" w:tplc="4D506B4C">
      <w:start w:val="1"/>
      <w:numFmt w:val="bullet"/>
      <w:lvlText w:val="-"/>
      <w:lvlJc w:val="left"/>
      <w:rPr>
        <w:rFonts w:ascii="Arial" w:eastAsiaTheme="minorHAnsi" w:hAnsi="Arial" w:cs="Arial" w:hint="default"/>
      </w:rPr>
    </w:lvl>
    <w:lvl w:ilvl="1" w:tplc="4D506B4C">
      <w:start w:val="1"/>
      <w:numFmt w:val="bullet"/>
      <w:lvlText w:val="-"/>
      <w:lvlJc w:val="left"/>
      <w:pPr>
        <w:ind w:left="1440" w:hanging="360"/>
      </w:pPr>
      <w:rPr>
        <w:rFonts w:ascii="Arial" w:eastAsiaTheme="minorHAnsi" w:hAnsi="Arial" w:cs="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F03692E"/>
    <w:multiLevelType w:val="multilevel"/>
    <w:tmpl w:val="C4103BA4"/>
    <w:lvl w:ilvl="0">
      <w:start w:val="1"/>
      <w:numFmt w:val="decimal"/>
      <w:lvlText w:val="%1"/>
      <w:lvlJc w:val="left"/>
      <w:pPr>
        <w:ind w:left="480" w:hanging="480"/>
      </w:pPr>
      <w:rPr>
        <w:rFonts w:hint="default"/>
        <w:sz w:val="24"/>
      </w:rPr>
    </w:lvl>
    <w:lvl w:ilvl="1">
      <w:start w:val="2"/>
      <w:numFmt w:val="decimal"/>
      <w:lvlText w:val="%1.%2"/>
      <w:lvlJc w:val="left"/>
      <w:pPr>
        <w:ind w:left="905" w:hanging="48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1995" w:hanging="72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205" w:hanging="108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415" w:hanging="1440"/>
      </w:pPr>
      <w:rPr>
        <w:rFonts w:hint="default"/>
        <w:sz w:val="24"/>
      </w:rPr>
    </w:lvl>
    <w:lvl w:ilvl="8">
      <w:start w:val="1"/>
      <w:numFmt w:val="decimal"/>
      <w:lvlText w:val="%1.%2.%3.%4.%5.%6.%7.%8.%9"/>
      <w:lvlJc w:val="left"/>
      <w:pPr>
        <w:ind w:left="5200" w:hanging="1800"/>
      </w:pPr>
      <w:rPr>
        <w:rFonts w:hint="default"/>
        <w:sz w:val="24"/>
      </w:rPr>
    </w:lvl>
  </w:abstractNum>
  <w:abstractNum w:abstractNumId="39" w15:restartNumberingAfterBreak="0">
    <w:nsid w:val="4FC91065"/>
    <w:multiLevelType w:val="hybridMultilevel"/>
    <w:tmpl w:val="59D6CD7C"/>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0D67B1B"/>
    <w:multiLevelType w:val="hybridMultilevel"/>
    <w:tmpl w:val="035672CE"/>
    <w:lvl w:ilvl="0" w:tplc="340A0001">
      <w:start w:val="1"/>
      <w:numFmt w:val="bullet"/>
      <w:lvlText w:val=""/>
      <w:lvlJc w:val="left"/>
      <w:pPr>
        <w:ind w:left="1004" w:hanging="360"/>
      </w:pPr>
      <w:rPr>
        <w:rFonts w:ascii="Symbol" w:hAnsi="Symbol" w:hint="default"/>
      </w:rPr>
    </w:lvl>
    <w:lvl w:ilvl="1" w:tplc="340A0003">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41" w15:restartNumberingAfterBreak="0">
    <w:nsid w:val="51B83F7B"/>
    <w:multiLevelType w:val="hybridMultilevel"/>
    <w:tmpl w:val="07801A28"/>
    <w:lvl w:ilvl="0" w:tplc="6E924E94">
      <w:start w:val="1"/>
      <w:numFmt w:val="lowerRoman"/>
      <w:lvlText w:val="%1."/>
      <w:lvlJc w:val="left"/>
      <w:pPr>
        <w:ind w:left="1713" w:hanging="720"/>
      </w:pPr>
      <w:rPr>
        <w:rFonts w:hint="default"/>
      </w:rPr>
    </w:lvl>
    <w:lvl w:ilvl="1" w:tplc="340A0019" w:tentative="1">
      <w:start w:val="1"/>
      <w:numFmt w:val="lowerLetter"/>
      <w:lvlText w:val="%2."/>
      <w:lvlJc w:val="left"/>
      <w:pPr>
        <w:ind w:left="2073" w:hanging="360"/>
      </w:pPr>
    </w:lvl>
    <w:lvl w:ilvl="2" w:tplc="340A001B" w:tentative="1">
      <w:start w:val="1"/>
      <w:numFmt w:val="lowerRoman"/>
      <w:lvlText w:val="%3."/>
      <w:lvlJc w:val="right"/>
      <w:pPr>
        <w:ind w:left="2793" w:hanging="180"/>
      </w:pPr>
    </w:lvl>
    <w:lvl w:ilvl="3" w:tplc="340A000F" w:tentative="1">
      <w:start w:val="1"/>
      <w:numFmt w:val="decimal"/>
      <w:lvlText w:val="%4."/>
      <w:lvlJc w:val="left"/>
      <w:pPr>
        <w:ind w:left="3513" w:hanging="360"/>
      </w:pPr>
    </w:lvl>
    <w:lvl w:ilvl="4" w:tplc="340A0019" w:tentative="1">
      <w:start w:val="1"/>
      <w:numFmt w:val="lowerLetter"/>
      <w:lvlText w:val="%5."/>
      <w:lvlJc w:val="left"/>
      <w:pPr>
        <w:ind w:left="4233" w:hanging="360"/>
      </w:pPr>
    </w:lvl>
    <w:lvl w:ilvl="5" w:tplc="340A001B" w:tentative="1">
      <w:start w:val="1"/>
      <w:numFmt w:val="lowerRoman"/>
      <w:lvlText w:val="%6."/>
      <w:lvlJc w:val="right"/>
      <w:pPr>
        <w:ind w:left="4953" w:hanging="180"/>
      </w:pPr>
    </w:lvl>
    <w:lvl w:ilvl="6" w:tplc="340A000F" w:tentative="1">
      <w:start w:val="1"/>
      <w:numFmt w:val="decimal"/>
      <w:lvlText w:val="%7."/>
      <w:lvlJc w:val="left"/>
      <w:pPr>
        <w:ind w:left="5673" w:hanging="360"/>
      </w:pPr>
    </w:lvl>
    <w:lvl w:ilvl="7" w:tplc="340A0019" w:tentative="1">
      <w:start w:val="1"/>
      <w:numFmt w:val="lowerLetter"/>
      <w:lvlText w:val="%8."/>
      <w:lvlJc w:val="left"/>
      <w:pPr>
        <w:ind w:left="6393" w:hanging="360"/>
      </w:pPr>
    </w:lvl>
    <w:lvl w:ilvl="8" w:tplc="340A001B" w:tentative="1">
      <w:start w:val="1"/>
      <w:numFmt w:val="lowerRoman"/>
      <w:lvlText w:val="%9."/>
      <w:lvlJc w:val="right"/>
      <w:pPr>
        <w:ind w:left="7113" w:hanging="180"/>
      </w:pPr>
    </w:lvl>
  </w:abstractNum>
  <w:abstractNum w:abstractNumId="42" w15:restartNumberingAfterBreak="0">
    <w:nsid w:val="59E4AB49"/>
    <w:multiLevelType w:val="hybridMultilevel"/>
    <w:tmpl w:val="FFFFFFFF"/>
    <w:lvl w:ilvl="0" w:tplc="FFFFFFFF">
      <w:start w:val="1"/>
      <w:numFmt w:val="bullet"/>
      <w:lvlText w:val="•"/>
      <w:lvlJc w:val="left"/>
    </w:lvl>
    <w:lvl w:ilvl="1" w:tplc="199595BB">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11B2EE8"/>
    <w:multiLevelType w:val="hybridMultilevel"/>
    <w:tmpl w:val="FFFFFFFF"/>
    <w:lvl w:ilvl="0" w:tplc="FFFFFFFF">
      <w:start w:val="1"/>
      <w:numFmt w:val="decimal"/>
      <w:lvlText w:val="%1."/>
      <w:lvlJc w:val="left"/>
    </w:lvl>
    <w:lvl w:ilvl="1" w:tplc="0CDB5FA5">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CEBDD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A86489E"/>
    <w:multiLevelType w:val="hybridMultilevel"/>
    <w:tmpl w:val="42120284"/>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7C02D3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6E2699"/>
    <w:multiLevelType w:val="multilevel"/>
    <w:tmpl w:val="DB14207C"/>
    <w:lvl w:ilvl="0">
      <w:start w:val="1"/>
      <w:numFmt w:val="decimal"/>
      <w:lvlText w:val="%1"/>
      <w:lvlJc w:val="left"/>
      <w:pPr>
        <w:ind w:left="480" w:hanging="480"/>
      </w:pPr>
      <w:rPr>
        <w:rFonts w:hint="default"/>
      </w:rPr>
    </w:lvl>
    <w:lvl w:ilvl="1">
      <w:start w:val="2"/>
      <w:numFmt w:val="decimal"/>
      <w:lvlText w:val="%1.%2"/>
      <w:lvlJc w:val="left"/>
      <w:pPr>
        <w:ind w:left="932" w:hanging="480"/>
      </w:pPr>
      <w:rPr>
        <w:rFonts w:hint="default"/>
      </w:rPr>
    </w:lvl>
    <w:lvl w:ilvl="2">
      <w:start w:val="3"/>
      <w:numFmt w:val="decimal"/>
      <w:lvlText w:val="%1.%2.%3"/>
      <w:lvlJc w:val="left"/>
      <w:pPr>
        <w:ind w:left="1624" w:hanging="720"/>
      </w:pPr>
      <w:rPr>
        <w:rFonts w:hint="default"/>
      </w:rPr>
    </w:lvl>
    <w:lvl w:ilvl="3">
      <w:start w:val="1"/>
      <w:numFmt w:val="decimal"/>
      <w:lvlText w:val="%1.%2.%3.%4"/>
      <w:lvlJc w:val="left"/>
      <w:pPr>
        <w:ind w:left="2076" w:hanging="720"/>
      </w:pPr>
      <w:rPr>
        <w:rFonts w:hint="default"/>
      </w:rPr>
    </w:lvl>
    <w:lvl w:ilvl="4">
      <w:start w:val="1"/>
      <w:numFmt w:val="decimal"/>
      <w:lvlText w:val="%1.%2.%3.%4.%5"/>
      <w:lvlJc w:val="left"/>
      <w:pPr>
        <w:ind w:left="2888" w:hanging="1080"/>
      </w:pPr>
      <w:rPr>
        <w:rFonts w:hint="default"/>
      </w:rPr>
    </w:lvl>
    <w:lvl w:ilvl="5">
      <w:start w:val="1"/>
      <w:numFmt w:val="decimal"/>
      <w:lvlText w:val="%1.%2.%3.%4.%5.%6"/>
      <w:lvlJc w:val="left"/>
      <w:pPr>
        <w:ind w:left="3340" w:hanging="1080"/>
      </w:pPr>
      <w:rPr>
        <w:rFonts w:hint="default"/>
      </w:rPr>
    </w:lvl>
    <w:lvl w:ilvl="6">
      <w:start w:val="1"/>
      <w:numFmt w:val="decimal"/>
      <w:lvlText w:val="%1.%2.%3.%4.%5.%6.%7"/>
      <w:lvlJc w:val="left"/>
      <w:pPr>
        <w:ind w:left="4152" w:hanging="1440"/>
      </w:pPr>
      <w:rPr>
        <w:rFonts w:hint="default"/>
      </w:rPr>
    </w:lvl>
    <w:lvl w:ilvl="7">
      <w:start w:val="1"/>
      <w:numFmt w:val="decimal"/>
      <w:lvlText w:val="%1.%2.%3.%4.%5.%6.%7.%8"/>
      <w:lvlJc w:val="left"/>
      <w:pPr>
        <w:ind w:left="4604" w:hanging="1440"/>
      </w:pPr>
      <w:rPr>
        <w:rFonts w:hint="default"/>
      </w:rPr>
    </w:lvl>
    <w:lvl w:ilvl="8">
      <w:start w:val="1"/>
      <w:numFmt w:val="decimal"/>
      <w:lvlText w:val="%1.%2.%3.%4.%5.%6.%7.%8.%9"/>
      <w:lvlJc w:val="left"/>
      <w:pPr>
        <w:ind w:left="5416" w:hanging="1800"/>
      </w:pPr>
      <w:rPr>
        <w:rFonts w:hint="default"/>
      </w:rPr>
    </w:lvl>
  </w:abstractNum>
  <w:num w:numId="1" w16cid:durableId="1632400264">
    <w:abstractNumId w:val="2"/>
  </w:num>
  <w:num w:numId="2" w16cid:durableId="1670793824">
    <w:abstractNumId w:val="33"/>
  </w:num>
  <w:num w:numId="3" w16cid:durableId="2129811105">
    <w:abstractNumId w:val="13"/>
  </w:num>
  <w:num w:numId="4" w16cid:durableId="1642269979">
    <w:abstractNumId w:val="25"/>
  </w:num>
  <w:num w:numId="5" w16cid:durableId="410545369">
    <w:abstractNumId w:val="26"/>
  </w:num>
  <w:num w:numId="6" w16cid:durableId="1283263506">
    <w:abstractNumId w:val="31"/>
  </w:num>
  <w:num w:numId="7" w16cid:durableId="491720280">
    <w:abstractNumId w:val="19"/>
  </w:num>
  <w:num w:numId="8" w16cid:durableId="847402984">
    <w:abstractNumId w:val="38"/>
  </w:num>
  <w:num w:numId="9" w16cid:durableId="1416244554">
    <w:abstractNumId w:val="47"/>
  </w:num>
  <w:num w:numId="10" w16cid:durableId="448859676">
    <w:abstractNumId w:val="16"/>
  </w:num>
  <w:num w:numId="11" w16cid:durableId="1442795611">
    <w:abstractNumId w:val="28"/>
  </w:num>
  <w:num w:numId="12" w16cid:durableId="1373654175">
    <w:abstractNumId w:val="37"/>
  </w:num>
  <w:num w:numId="13" w16cid:durableId="755591056">
    <w:abstractNumId w:val="23"/>
  </w:num>
  <w:num w:numId="14" w16cid:durableId="1450396443">
    <w:abstractNumId w:val="22"/>
  </w:num>
  <w:num w:numId="15" w16cid:durableId="325784360">
    <w:abstractNumId w:val="24"/>
  </w:num>
  <w:num w:numId="16" w16cid:durableId="417215550">
    <w:abstractNumId w:val="29"/>
  </w:num>
  <w:num w:numId="17" w16cid:durableId="2116553259">
    <w:abstractNumId w:val="18"/>
  </w:num>
  <w:num w:numId="18" w16cid:durableId="937493502">
    <w:abstractNumId w:val="15"/>
  </w:num>
  <w:num w:numId="19" w16cid:durableId="1779912770">
    <w:abstractNumId w:val="34"/>
  </w:num>
  <w:num w:numId="20" w16cid:durableId="1756396599">
    <w:abstractNumId w:val="20"/>
  </w:num>
  <w:num w:numId="21" w16cid:durableId="180431973">
    <w:abstractNumId w:val="14"/>
  </w:num>
  <w:num w:numId="22" w16cid:durableId="834877979">
    <w:abstractNumId w:val="4"/>
  </w:num>
  <w:num w:numId="23" w16cid:durableId="1387223338">
    <w:abstractNumId w:val="7"/>
  </w:num>
  <w:num w:numId="24" w16cid:durableId="1589656483">
    <w:abstractNumId w:val="30"/>
  </w:num>
  <w:num w:numId="25" w16cid:durableId="665597006">
    <w:abstractNumId w:val="40"/>
  </w:num>
  <w:num w:numId="26" w16cid:durableId="474640989">
    <w:abstractNumId w:val="39"/>
  </w:num>
  <w:num w:numId="27" w16cid:durableId="891770498">
    <w:abstractNumId w:val="17"/>
  </w:num>
  <w:num w:numId="28" w16cid:durableId="405153256">
    <w:abstractNumId w:val="35"/>
  </w:num>
  <w:num w:numId="29" w16cid:durableId="2092000296">
    <w:abstractNumId w:val="1"/>
  </w:num>
  <w:num w:numId="30" w16cid:durableId="1930431751">
    <w:abstractNumId w:val="45"/>
  </w:num>
  <w:num w:numId="31" w16cid:durableId="1994798374">
    <w:abstractNumId w:val="9"/>
  </w:num>
  <w:num w:numId="32" w16cid:durableId="1736590532">
    <w:abstractNumId w:val="27"/>
  </w:num>
  <w:num w:numId="33" w16cid:durableId="563687285">
    <w:abstractNumId w:val="42"/>
  </w:num>
  <w:num w:numId="34" w16cid:durableId="1962298538">
    <w:abstractNumId w:val="10"/>
  </w:num>
  <w:num w:numId="35" w16cid:durableId="1311981374">
    <w:abstractNumId w:val="12"/>
  </w:num>
  <w:num w:numId="36" w16cid:durableId="72092543">
    <w:abstractNumId w:val="6"/>
  </w:num>
  <w:num w:numId="37" w16cid:durableId="233048081">
    <w:abstractNumId w:val="44"/>
  </w:num>
  <w:num w:numId="38" w16cid:durableId="1211310979">
    <w:abstractNumId w:val="43"/>
  </w:num>
  <w:num w:numId="39" w16cid:durableId="1773091854">
    <w:abstractNumId w:val="3"/>
  </w:num>
  <w:num w:numId="40" w16cid:durableId="157118038">
    <w:abstractNumId w:val="0"/>
  </w:num>
  <w:num w:numId="41" w16cid:durableId="918633039">
    <w:abstractNumId w:val="46"/>
  </w:num>
  <w:num w:numId="42" w16cid:durableId="474957230">
    <w:abstractNumId w:val="32"/>
  </w:num>
  <w:num w:numId="43" w16cid:durableId="1598252391">
    <w:abstractNumId w:val="36"/>
  </w:num>
  <w:num w:numId="44" w16cid:durableId="2138138659">
    <w:abstractNumId w:val="5"/>
  </w:num>
  <w:num w:numId="45" w16cid:durableId="1553689720">
    <w:abstractNumId w:val="11"/>
  </w:num>
  <w:num w:numId="46" w16cid:durableId="1897470434">
    <w:abstractNumId w:val="8"/>
  </w:num>
  <w:num w:numId="47" w16cid:durableId="1950775304">
    <w:abstractNumId w:val="21"/>
  </w:num>
  <w:num w:numId="48" w16cid:durableId="18848260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70"/>
    <w:rsid w:val="00050900"/>
    <w:rsid w:val="000E1D82"/>
    <w:rsid w:val="00150AFF"/>
    <w:rsid w:val="001E1A70"/>
    <w:rsid w:val="002E3DC8"/>
    <w:rsid w:val="003A578D"/>
    <w:rsid w:val="00482550"/>
    <w:rsid w:val="00487020"/>
    <w:rsid w:val="004F0AAA"/>
    <w:rsid w:val="00733357"/>
    <w:rsid w:val="00761DA0"/>
    <w:rsid w:val="00783636"/>
    <w:rsid w:val="007A747F"/>
    <w:rsid w:val="008115AA"/>
    <w:rsid w:val="008257F5"/>
    <w:rsid w:val="008E1C07"/>
    <w:rsid w:val="0092794B"/>
    <w:rsid w:val="009D431A"/>
    <w:rsid w:val="00A05EFE"/>
    <w:rsid w:val="00A14894"/>
    <w:rsid w:val="00A3144C"/>
    <w:rsid w:val="00B41D2B"/>
    <w:rsid w:val="00B60A2D"/>
    <w:rsid w:val="00BC4D32"/>
    <w:rsid w:val="00C076DC"/>
    <w:rsid w:val="00C178D5"/>
    <w:rsid w:val="00DC05AA"/>
    <w:rsid w:val="00DC3B54"/>
    <w:rsid w:val="00DD0F2C"/>
    <w:rsid w:val="00E22275"/>
    <w:rsid w:val="00E454E4"/>
    <w:rsid w:val="00F063E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5007"/>
  <w15:chartTrackingRefBased/>
  <w15:docId w15:val="{28168E16-3409-403D-9421-B30DC478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E1A70"/>
    <w:pPr>
      <w:autoSpaceDE w:val="0"/>
      <w:autoSpaceDN w:val="0"/>
      <w:adjustRightInd w:val="0"/>
      <w:spacing w:after="0" w:line="240" w:lineRule="auto"/>
    </w:pPr>
    <w:rPr>
      <w:rFonts w:ascii="Calibri" w:hAnsi="Calibri" w:cs="Calibri"/>
      <w:color w:val="000000"/>
      <w:kern w:val="0"/>
      <w:sz w:val="24"/>
      <w:szCs w:val="24"/>
    </w:rPr>
  </w:style>
  <w:style w:type="paragraph" w:styleId="Prrafodelista">
    <w:name w:val="List Paragraph"/>
    <w:basedOn w:val="Normal"/>
    <w:uiPriority w:val="34"/>
    <w:qFormat/>
    <w:rsid w:val="00761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788D-3784-4599-B127-9D5407BF6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836</Words>
  <Characters>4599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Daniel Cerda Benecett</dc:creator>
  <cp:keywords/>
  <dc:description/>
  <cp:lastModifiedBy>Mauricio Daniel Cerda Benecett</cp:lastModifiedBy>
  <cp:revision>2</cp:revision>
  <dcterms:created xsi:type="dcterms:W3CDTF">2025-12-22T01:15:00Z</dcterms:created>
  <dcterms:modified xsi:type="dcterms:W3CDTF">2025-12-22T01:15:00Z</dcterms:modified>
</cp:coreProperties>
</file>