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E6D32" w14:textId="77777777" w:rsidR="001E1A70" w:rsidRPr="001E1A70" w:rsidRDefault="001E1A70" w:rsidP="001E1A70">
      <w:pPr>
        <w:pStyle w:val="Default"/>
        <w:jc w:val="center"/>
        <w:rPr>
          <w:b/>
          <w:bCs/>
          <w:color w:val="0B769F" w:themeColor="accent4" w:themeShade="BF"/>
          <w:sz w:val="36"/>
          <w:szCs w:val="36"/>
        </w:rPr>
      </w:pPr>
      <w:r w:rsidRPr="001E1A70">
        <w:rPr>
          <w:b/>
          <w:bCs/>
          <w:color w:val="0B769F" w:themeColor="accent4" w:themeShade="BF"/>
          <w:sz w:val="36"/>
          <w:szCs w:val="36"/>
        </w:rPr>
        <w:t>Norma Técnica de Calidad de Servicios para Sistemas de Distribución</w:t>
      </w:r>
    </w:p>
    <w:p w14:paraId="0610E14A" w14:textId="77777777" w:rsidR="001E1A70" w:rsidRDefault="001E1A70" w:rsidP="001E1A70">
      <w:pPr>
        <w:pStyle w:val="Default"/>
        <w:rPr>
          <w:b/>
          <w:bCs/>
          <w:sz w:val="28"/>
          <w:szCs w:val="28"/>
        </w:rPr>
      </w:pPr>
    </w:p>
    <w:p w14:paraId="53385EC0" w14:textId="77777777" w:rsidR="001E1A70" w:rsidRDefault="001E1A70" w:rsidP="001E1A70">
      <w:pPr>
        <w:pStyle w:val="Default"/>
        <w:rPr>
          <w:b/>
          <w:bCs/>
          <w:sz w:val="28"/>
          <w:szCs w:val="28"/>
        </w:rPr>
      </w:pPr>
      <w:r>
        <w:rPr>
          <w:b/>
          <w:bCs/>
          <w:sz w:val="28"/>
          <w:szCs w:val="28"/>
        </w:rPr>
        <w:t>TÍTULO 5-1 CONEXIÓN Y AMPLIACIÓN DE SERVICIOS</w:t>
      </w:r>
    </w:p>
    <w:p w14:paraId="7E187D69" w14:textId="4DFF38F1" w:rsidR="001E1A70" w:rsidRDefault="001E1A70" w:rsidP="001E1A70">
      <w:pPr>
        <w:pStyle w:val="Default"/>
        <w:rPr>
          <w:sz w:val="28"/>
          <w:szCs w:val="28"/>
        </w:rPr>
      </w:pPr>
      <w:r>
        <w:rPr>
          <w:b/>
          <w:bCs/>
          <w:sz w:val="28"/>
          <w:szCs w:val="28"/>
        </w:rPr>
        <w:t xml:space="preserve"> </w:t>
      </w:r>
    </w:p>
    <w:p w14:paraId="3F14DF83" w14:textId="77777777" w:rsidR="00C076DC" w:rsidRDefault="00C076DC" w:rsidP="00C076DC">
      <w:pPr>
        <w:pStyle w:val="Default"/>
        <w:rPr>
          <w:b/>
          <w:bCs/>
          <w:sz w:val="23"/>
          <w:szCs w:val="23"/>
        </w:rPr>
      </w:pPr>
      <w:r>
        <w:rPr>
          <w:b/>
          <w:bCs/>
          <w:sz w:val="23"/>
          <w:szCs w:val="23"/>
        </w:rPr>
        <w:t>Artículo 5-5 Procedimiento para Conexión de Suministros Múltiples</w:t>
      </w:r>
      <w:r>
        <w:rPr>
          <w:b/>
          <w:bCs/>
          <w:sz w:val="23"/>
          <w:szCs w:val="23"/>
        </w:rPr>
        <w:t>.</w:t>
      </w:r>
    </w:p>
    <w:p w14:paraId="2B856AA3" w14:textId="09BD528F" w:rsidR="00C076DC" w:rsidRDefault="00C076DC" w:rsidP="00C076DC">
      <w:pPr>
        <w:pStyle w:val="Default"/>
        <w:rPr>
          <w:sz w:val="23"/>
          <w:szCs w:val="23"/>
        </w:rPr>
      </w:pPr>
      <w:r>
        <w:rPr>
          <w:b/>
          <w:bCs/>
          <w:sz w:val="23"/>
          <w:szCs w:val="23"/>
        </w:rPr>
        <w:t xml:space="preserve"> </w:t>
      </w:r>
    </w:p>
    <w:p w14:paraId="68AA1CF4" w14:textId="6C709878" w:rsidR="00C076DC" w:rsidRDefault="00C076DC" w:rsidP="00C076DC">
      <w:pPr>
        <w:pStyle w:val="Default"/>
        <w:jc w:val="both"/>
        <w:rPr>
          <w:sz w:val="23"/>
          <w:szCs w:val="23"/>
        </w:rPr>
      </w:pPr>
      <w:r>
        <w:rPr>
          <w:sz w:val="23"/>
          <w:szCs w:val="23"/>
        </w:rPr>
        <w:t>Se deberá ingresar una solicitud de conexión de suministros múltiples cuando se requiera la conexión simultanea de varios suministros, como, por ejemplo, en el caso de condominios o conjuntos habitacionales, Parcelaciones o Loteos, centros comerciales, edificios de departamentos, edificios de oficinas o edificios mixtos que cuenten con cualquier</w:t>
      </w:r>
      <w:r>
        <w:rPr>
          <w:sz w:val="23"/>
          <w:szCs w:val="23"/>
        </w:rPr>
        <w:t xml:space="preserve"> </w:t>
      </w:r>
      <w:r>
        <w:rPr>
          <w:sz w:val="23"/>
          <w:szCs w:val="23"/>
        </w:rPr>
        <w:t xml:space="preserve">combinación de departamentos, oficinas o locales comerciales, entre otros. Este tipo de proyectos no podrán ser tramitados como solicitudes de conexiones individuales. </w:t>
      </w:r>
    </w:p>
    <w:p w14:paraId="39C9EAA1" w14:textId="77777777" w:rsidR="00C076DC" w:rsidRDefault="00C076DC" w:rsidP="00C076DC">
      <w:pPr>
        <w:pStyle w:val="Default"/>
        <w:jc w:val="both"/>
        <w:rPr>
          <w:sz w:val="23"/>
          <w:szCs w:val="23"/>
        </w:rPr>
      </w:pPr>
    </w:p>
    <w:p w14:paraId="6125B473" w14:textId="77777777" w:rsidR="00C076DC" w:rsidRDefault="00C076DC" w:rsidP="00C076DC">
      <w:pPr>
        <w:pStyle w:val="Default"/>
        <w:jc w:val="both"/>
        <w:rPr>
          <w:sz w:val="23"/>
          <w:szCs w:val="23"/>
        </w:rPr>
      </w:pPr>
      <w:r>
        <w:rPr>
          <w:sz w:val="23"/>
          <w:szCs w:val="23"/>
        </w:rPr>
        <w:t xml:space="preserve">No se considerará como Empalme múltiple cuando se solicite un nuevo Empalme en una misma propiedad según los términos establecidos en el RIC N°01 del Decreto Supremo N° 8/2019 o aquel que lo reemplace. </w:t>
      </w:r>
    </w:p>
    <w:p w14:paraId="13E475B7" w14:textId="77777777" w:rsidR="00C076DC" w:rsidRDefault="00C076DC" w:rsidP="00C076DC">
      <w:pPr>
        <w:pStyle w:val="Default"/>
        <w:jc w:val="both"/>
        <w:rPr>
          <w:sz w:val="23"/>
          <w:szCs w:val="23"/>
        </w:rPr>
      </w:pPr>
    </w:p>
    <w:p w14:paraId="7E888A9F" w14:textId="77777777" w:rsidR="00C076DC" w:rsidRDefault="00C076DC" w:rsidP="00C076DC">
      <w:pPr>
        <w:pStyle w:val="Default"/>
        <w:jc w:val="both"/>
        <w:rPr>
          <w:sz w:val="23"/>
          <w:szCs w:val="23"/>
        </w:rPr>
      </w:pPr>
      <w:r>
        <w:rPr>
          <w:sz w:val="23"/>
          <w:szCs w:val="23"/>
        </w:rPr>
        <w:t xml:space="preserve">Las obras de construcción de un proyecto de Empalmes múltiples podrán ser construidas por la Empresa Distribuidora correspondiente o por el Requirente o terceros, de acuerdo con lo dispuesto en el Artículo 112 del DS 327, o el que lo reemplace. En caso de que las obras sean construidas por terceros, existirán dos alternativas: </w:t>
      </w:r>
    </w:p>
    <w:p w14:paraId="573AF6B6" w14:textId="77777777" w:rsidR="00C076DC" w:rsidRDefault="00C076DC" w:rsidP="00C076DC">
      <w:pPr>
        <w:pStyle w:val="Default"/>
        <w:spacing w:after="23"/>
        <w:ind w:left="851" w:hanging="284"/>
        <w:jc w:val="both"/>
        <w:rPr>
          <w:sz w:val="23"/>
          <w:szCs w:val="23"/>
        </w:rPr>
      </w:pPr>
      <w:r>
        <w:rPr>
          <w:sz w:val="23"/>
          <w:szCs w:val="23"/>
        </w:rPr>
        <w:t xml:space="preserve">1) El Requirente o un tercero construye las obras de Empalmes de acuerdo con un proyecto que puede ser contratado a la Empresa Distribuidora. </w:t>
      </w:r>
    </w:p>
    <w:p w14:paraId="0C179530" w14:textId="77777777" w:rsidR="00C076DC" w:rsidRDefault="00C076DC" w:rsidP="00C076DC">
      <w:pPr>
        <w:pStyle w:val="Default"/>
        <w:ind w:left="851" w:hanging="284"/>
        <w:jc w:val="both"/>
        <w:rPr>
          <w:sz w:val="23"/>
          <w:szCs w:val="23"/>
        </w:rPr>
      </w:pPr>
      <w:r>
        <w:rPr>
          <w:sz w:val="23"/>
          <w:szCs w:val="23"/>
        </w:rPr>
        <w:t xml:space="preserve">2) El Requirente o un tercero construye las obras de Empalmes en base a un proyecto aprobado por la Empresa Distribuidora que fue elaborado por el Requirente o un tercero. </w:t>
      </w:r>
    </w:p>
    <w:p w14:paraId="7FC30995" w14:textId="77777777" w:rsidR="00C076DC" w:rsidRDefault="00C076DC" w:rsidP="00C076DC">
      <w:pPr>
        <w:pStyle w:val="Default"/>
        <w:jc w:val="both"/>
        <w:rPr>
          <w:sz w:val="23"/>
          <w:szCs w:val="23"/>
        </w:rPr>
      </w:pPr>
    </w:p>
    <w:p w14:paraId="78538D57" w14:textId="77777777" w:rsidR="00C076DC" w:rsidRDefault="00C076DC" w:rsidP="00C076DC">
      <w:pPr>
        <w:pStyle w:val="Default"/>
        <w:jc w:val="both"/>
        <w:rPr>
          <w:sz w:val="23"/>
          <w:szCs w:val="23"/>
        </w:rPr>
      </w:pPr>
      <w:r>
        <w:rPr>
          <w:sz w:val="23"/>
          <w:szCs w:val="23"/>
        </w:rPr>
        <w:t xml:space="preserve">La duración del proyecto aprobado por la Empresa Distribuidora tendrá una vigencia mínima de 1 año. </w:t>
      </w:r>
    </w:p>
    <w:p w14:paraId="323890BC" w14:textId="77777777" w:rsidR="00C076DC" w:rsidRDefault="00C076DC" w:rsidP="00C076DC">
      <w:pPr>
        <w:pStyle w:val="Default"/>
        <w:jc w:val="both"/>
        <w:rPr>
          <w:sz w:val="23"/>
          <w:szCs w:val="23"/>
        </w:rPr>
      </w:pPr>
    </w:p>
    <w:p w14:paraId="38623852" w14:textId="77777777" w:rsidR="00C076DC" w:rsidRDefault="00C076DC" w:rsidP="00C076DC">
      <w:pPr>
        <w:pStyle w:val="Default"/>
        <w:jc w:val="both"/>
        <w:rPr>
          <w:sz w:val="23"/>
          <w:szCs w:val="23"/>
        </w:rPr>
      </w:pPr>
      <w:r>
        <w:rPr>
          <w:sz w:val="23"/>
          <w:szCs w:val="23"/>
        </w:rPr>
        <w:t xml:space="preserve">Cuando los Empalmes sean ejecutados por el Requirente o terceros, deberán ser inspeccionados y revisados por la Empresa Distribuidora, la cual, en ningún caso, podrá imponer condiciones superiores a las definidas en la normativa vigente o efectuar cobros, con excepción de aquellos cobros reconocidos por la Ley o decretos correspondientes Independiente de que la construcción de Empalmes sea realizada por la Empresa Distribuidora, por el Requirente o terceros, esta deberá contemplar todas las obras y actividades que sean necesarias para suministrar y dejar operativos los Empalmes, incluyendo la ingeniería de detalle, planos de planta y elevación, cubicación y especificación de materiales, dimensionamiento de conductores, dimensiones de los </w:t>
      </w:r>
      <w:r>
        <w:rPr>
          <w:i/>
          <w:iCs/>
          <w:sz w:val="23"/>
          <w:szCs w:val="23"/>
        </w:rPr>
        <w:t>shaft</w:t>
      </w:r>
      <w:r>
        <w:rPr>
          <w:sz w:val="23"/>
          <w:szCs w:val="23"/>
        </w:rPr>
        <w:t xml:space="preserve">, volúmenes disponibles, espacios para gabinetes y armarios, trazados de las canalizaciones de los Arranques, Verticales y Acometidas provenientes de la red pública de distribución, cuando corresponda. </w:t>
      </w:r>
    </w:p>
    <w:p w14:paraId="2D4EF427" w14:textId="77777777" w:rsidR="00C076DC" w:rsidRDefault="00C076DC" w:rsidP="00C076DC">
      <w:pPr>
        <w:pStyle w:val="Default"/>
        <w:jc w:val="both"/>
        <w:rPr>
          <w:sz w:val="23"/>
          <w:szCs w:val="23"/>
        </w:rPr>
      </w:pPr>
    </w:p>
    <w:p w14:paraId="2B17630E" w14:textId="77777777" w:rsidR="00C076DC" w:rsidRDefault="00C076DC" w:rsidP="00C076DC">
      <w:pPr>
        <w:pStyle w:val="Default"/>
        <w:jc w:val="both"/>
        <w:rPr>
          <w:sz w:val="23"/>
          <w:szCs w:val="23"/>
        </w:rPr>
      </w:pPr>
      <w:r>
        <w:rPr>
          <w:sz w:val="23"/>
          <w:szCs w:val="23"/>
        </w:rPr>
        <w:t xml:space="preserve">Asimismo, la Empresa Distribuidora, el Requirente o los terceros, según corresponda, deberán elaborar un cronograma de ejecución de las obras, con las correspondientes fechas e hitos relevantes </w:t>
      </w:r>
      <w:r>
        <w:rPr>
          <w:sz w:val="23"/>
          <w:szCs w:val="23"/>
        </w:rPr>
        <w:lastRenderedPageBreak/>
        <w:t xml:space="preserve">para garantizar el cumplimiento de los plazos y cualquier consideración que garantice la ejecución de las obras encargadas a terceros a nombre del Requirente. En cualquiera de los casos, la Empresa Distribuidora no podrá realizar exigencias superiores a las establecidas en la normativa vigente. </w:t>
      </w:r>
    </w:p>
    <w:p w14:paraId="7CD942BB" w14:textId="77777777" w:rsidR="00C076DC" w:rsidRDefault="00C076DC" w:rsidP="00C076DC">
      <w:pPr>
        <w:pStyle w:val="Default"/>
        <w:jc w:val="both"/>
        <w:rPr>
          <w:sz w:val="23"/>
          <w:szCs w:val="23"/>
        </w:rPr>
      </w:pPr>
    </w:p>
    <w:p w14:paraId="1145DC46" w14:textId="77777777" w:rsidR="00DD0F2C" w:rsidRDefault="00C076DC" w:rsidP="00C076DC">
      <w:pPr>
        <w:pStyle w:val="Default"/>
        <w:jc w:val="both"/>
        <w:rPr>
          <w:sz w:val="23"/>
          <w:szCs w:val="23"/>
        </w:rPr>
      </w:pPr>
      <w:r>
        <w:rPr>
          <w:sz w:val="23"/>
          <w:szCs w:val="23"/>
        </w:rPr>
        <w:t>Al momento de ingresar la solicitud de conexión de suministros múltiples, el Requirente deberá informar a la Empresa Distribuidora la modalidad para la construcción del proyecto de Empalmes múltiples:</w:t>
      </w:r>
    </w:p>
    <w:p w14:paraId="3B3FCB94" w14:textId="2B23A38B" w:rsidR="00C076DC" w:rsidRDefault="00C076DC" w:rsidP="00C076DC">
      <w:pPr>
        <w:pStyle w:val="Default"/>
        <w:jc w:val="both"/>
        <w:rPr>
          <w:sz w:val="23"/>
          <w:szCs w:val="23"/>
        </w:rPr>
      </w:pPr>
      <w:r>
        <w:rPr>
          <w:sz w:val="23"/>
          <w:szCs w:val="23"/>
        </w:rPr>
        <w:t xml:space="preserve"> </w:t>
      </w:r>
    </w:p>
    <w:p w14:paraId="1971CF26" w14:textId="68E00300" w:rsidR="00C076DC" w:rsidRDefault="00C076DC" w:rsidP="00C076DC">
      <w:pPr>
        <w:pStyle w:val="Default"/>
        <w:tabs>
          <w:tab w:val="left" w:pos="851"/>
        </w:tabs>
        <w:spacing w:after="22"/>
        <w:ind w:left="709" w:hanging="283"/>
        <w:jc w:val="both"/>
        <w:rPr>
          <w:sz w:val="23"/>
          <w:szCs w:val="23"/>
        </w:rPr>
      </w:pPr>
      <w:r>
        <w:rPr>
          <w:sz w:val="23"/>
          <w:szCs w:val="23"/>
        </w:rPr>
        <w:t xml:space="preserve">a.- </w:t>
      </w:r>
      <w:r>
        <w:rPr>
          <w:sz w:val="23"/>
          <w:szCs w:val="23"/>
        </w:rPr>
        <w:t xml:space="preserve">Si contratará la ejecución de las obras a la Empresa Distribuidora; </w:t>
      </w:r>
    </w:p>
    <w:p w14:paraId="3E24AB3D" w14:textId="60E8199B" w:rsidR="00C076DC" w:rsidRDefault="00C076DC" w:rsidP="00C076DC">
      <w:pPr>
        <w:pStyle w:val="Default"/>
        <w:tabs>
          <w:tab w:val="left" w:pos="851"/>
        </w:tabs>
        <w:spacing w:after="22"/>
        <w:ind w:left="709" w:hanging="283"/>
        <w:jc w:val="both"/>
        <w:rPr>
          <w:sz w:val="23"/>
          <w:szCs w:val="23"/>
        </w:rPr>
      </w:pPr>
      <w:r>
        <w:rPr>
          <w:sz w:val="23"/>
          <w:szCs w:val="23"/>
        </w:rPr>
        <w:t xml:space="preserve">b.- </w:t>
      </w:r>
      <w:r>
        <w:rPr>
          <w:sz w:val="23"/>
          <w:szCs w:val="23"/>
        </w:rPr>
        <w:t xml:space="preserve">Si el Requirente o un tercero construirá los Empalmes en base a en un proyecto elaborado por la Empresa Distribuidora; o, </w:t>
      </w:r>
    </w:p>
    <w:p w14:paraId="1FCA131C" w14:textId="4D1ACCE2" w:rsidR="00C076DC" w:rsidRDefault="00C076DC" w:rsidP="00C076DC">
      <w:pPr>
        <w:pStyle w:val="Default"/>
        <w:tabs>
          <w:tab w:val="left" w:pos="851"/>
        </w:tabs>
        <w:ind w:left="709" w:hanging="283"/>
        <w:jc w:val="both"/>
        <w:rPr>
          <w:sz w:val="23"/>
          <w:szCs w:val="23"/>
        </w:rPr>
      </w:pPr>
      <w:r>
        <w:rPr>
          <w:sz w:val="23"/>
          <w:szCs w:val="23"/>
        </w:rPr>
        <w:t xml:space="preserve">c.- </w:t>
      </w:r>
      <w:r>
        <w:rPr>
          <w:sz w:val="23"/>
          <w:szCs w:val="23"/>
        </w:rPr>
        <w:t xml:space="preserve">Si el Requirente o un tercero construirá los Empalmes en base a un proyecto elaborado por el Requirente y aprobado por la Empresa Distribuidora. </w:t>
      </w:r>
    </w:p>
    <w:p w14:paraId="51001C22" w14:textId="77777777" w:rsidR="00E22275" w:rsidRDefault="00E22275" w:rsidP="00C076DC">
      <w:pPr>
        <w:pStyle w:val="Default"/>
        <w:ind w:left="1276" w:hanging="1134"/>
        <w:jc w:val="both"/>
        <w:rPr>
          <w:sz w:val="23"/>
          <w:szCs w:val="23"/>
        </w:rPr>
      </w:pPr>
    </w:p>
    <w:p w14:paraId="61DA5F86" w14:textId="77777777" w:rsidR="00DD0F2C" w:rsidRDefault="00DD0F2C" w:rsidP="00DD0F2C">
      <w:pPr>
        <w:pStyle w:val="Default"/>
      </w:pPr>
    </w:p>
    <w:p w14:paraId="51965172" w14:textId="77777777" w:rsidR="00DD0F2C" w:rsidRDefault="00DD0F2C" w:rsidP="00DD0F2C">
      <w:pPr>
        <w:pStyle w:val="Default"/>
        <w:spacing w:after="22"/>
        <w:rPr>
          <w:b/>
          <w:bCs/>
          <w:sz w:val="23"/>
          <w:szCs w:val="23"/>
          <w:u w:val="single"/>
        </w:rPr>
      </w:pPr>
      <w:r w:rsidRPr="00DD0F2C">
        <w:rPr>
          <w:b/>
          <w:bCs/>
          <w:sz w:val="23"/>
          <w:szCs w:val="23"/>
          <w:u w:val="single"/>
        </w:rPr>
        <w:t xml:space="preserve">1.- </w:t>
      </w:r>
      <w:r w:rsidRPr="00DD0F2C">
        <w:rPr>
          <w:b/>
          <w:bCs/>
          <w:sz w:val="23"/>
          <w:szCs w:val="23"/>
          <w:u w:val="single"/>
        </w:rPr>
        <w:t xml:space="preserve">Solicitud de conexión de suministros múltiples </w:t>
      </w:r>
    </w:p>
    <w:p w14:paraId="5F7F62CC" w14:textId="77777777" w:rsidR="00BC4D32" w:rsidRDefault="00BC4D32" w:rsidP="00DD0F2C">
      <w:pPr>
        <w:pStyle w:val="Default"/>
        <w:spacing w:after="22"/>
        <w:rPr>
          <w:i/>
          <w:iCs/>
          <w:sz w:val="23"/>
          <w:szCs w:val="23"/>
        </w:rPr>
      </w:pPr>
    </w:p>
    <w:p w14:paraId="4DF6DB9A" w14:textId="2AD53AF0" w:rsidR="00BC4D32" w:rsidRDefault="00BC4D32" w:rsidP="00BC4D32">
      <w:pPr>
        <w:pStyle w:val="Default"/>
        <w:ind w:left="284"/>
        <w:rPr>
          <w:sz w:val="23"/>
          <w:szCs w:val="23"/>
        </w:rPr>
      </w:pPr>
      <w:r>
        <w:rPr>
          <w:sz w:val="23"/>
          <w:szCs w:val="23"/>
        </w:rPr>
        <w:t xml:space="preserve">El Requirente, comunicará a la Empresa Distribuidora una solicitud de conexión de suministros múltiples, en la que deberá acompañar, al menos, la siguiente información: </w:t>
      </w:r>
    </w:p>
    <w:p w14:paraId="61D7F207" w14:textId="12539058" w:rsidR="00DD0F2C" w:rsidRDefault="00DD0F2C" w:rsidP="00DD0F2C">
      <w:pPr>
        <w:pStyle w:val="Default"/>
        <w:spacing w:after="22"/>
        <w:rPr>
          <w:i/>
          <w:iCs/>
          <w:sz w:val="23"/>
          <w:szCs w:val="23"/>
        </w:rPr>
      </w:pPr>
    </w:p>
    <w:p w14:paraId="69922AA8" w14:textId="77777777" w:rsidR="00BC4D32" w:rsidRDefault="00BC4D32" w:rsidP="00B60A2D">
      <w:pPr>
        <w:pStyle w:val="Default"/>
        <w:spacing w:after="22"/>
        <w:ind w:left="993" w:hanging="709"/>
        <w:rPr>
          <w:sz w:val="23"/>
          <w:szCs w:val="23"/>
        </w:rPr>
      </w:pPr>
      <w:r>
        <w:rPr>
          <w:i/>
          <w:iCs/>
          <w:sz w:val="23"/>
          <w:szCs w:val="23"/>
        </w:rPr>
        <w:t xml:space="preserve">1.1.- </w:t>
      </w:r>
      <w:r w:rsidR="00DD0F2C">
        <w:rPr>
          <w:i/>
          <w:iCs/>
          <w:sz w:val="23"/>
          <w:szCs w:val="23"/>
        </w:rPr>
        <w:t>Antecedentes para conexión de suministros múltiples</w:t>
      </w:r>
      <w:r w:rsidR="00DD0F2C">
        <w:rPr>
          <w:sz w:val="23"/>
          <w:szCs w:val="23"/>
        </w:rPr>
        <w:t xml:space="preserve">: </w:t>
      </w:r>
    </w:p>
    <w:p w14:paraId="118F89B9" w14:textId="14FD045B" w:rsidR="00DD0F2C" w:rsidRDefault="00BC4D32" w:rsidP="00B60A2D">
      <w:pPr>
        <w:pStyle w:val="Default"/>
        <w:spacing w:after="22"/>
        <w:ind w:left="993" w:hanging="709"/>
        <w:rPr>
          <w:sz w:val="23"/>
          <w:szCs w:val="23"/>
        </w:rPr>
      </w:pPr>
      <w:r>
        <w:rPr>
          <w:sz w:val="23"/>
          <w:szCs w:val="23"/>
        </w:rPr>
        <w:t xml:space="preserve">1.1.1.- </w:t>
      </w:r>
      <w:r w:rsidR="00DD0F2C">
        <w:rPr>
          <w:sz w:val="23"/>
          <w:szCs w:val="23"/>
        </w:rPr>
        <w:t xml:space="preserve">Datos del Requirente y propietario del inmueble objeto de la solicitud. </w:t>
      </w:r>
    </w:p>
    <w:p w14:paraId="4AA34337" w14:textId="44A82266" w:rsidR="00DD0F2C" w:rsidRDefault="00BC4D32" w:rsidP="00B60A2D">
      <w:pPr>
        <w:pStyle w:val="Default"/>
        <w:spacing w:after="22"/>
        <w:ind w:left="993" w:hanging="709"/>
        <w:rPr>
          <w:sz w:val="23"/>
          <w:szCs w:val="23"/>
        </w:rPr>
      </w:pPr>
      <w:r>
        <w:rPr>
          <w:sz w:val="23"/>
          <w:szCs w:val="23"/>
        </w:rPr>
        <w:t xml:space="preserve">1.1.2.- </w:t>
      </w:r>
      <w:r w:rsidR="00DD0F2C">
        <w:rPr>
          <w:sz w:val="23"/>
          <w:szCs w:val="23"/>
        </w:rPr>
        <w:t xml:space="preserve">En caso de que la solicitud la presente un tercero distinto del propietario esta requerirá autorización notarial por parte del dueño de la propiedad o representante legal. </w:t>
      </w:r>
    </w:p>
    <w:p w14:paraId="745679FB" w14:textId="0967C52B" w:rsidR="00DD0F2C" w:rsidRDefault="00BC4D32" w:rsidP="00B60A2D">
      <w:pPr>
        <w:pStyle w:val="Default"/>
        <w:spacing w:after="22"/>
        <w:ind w:left="993" w:hanging="709"/>
        <w:rPr>
          <w:sz w:val="23"/>
          <w:szCs w:val="23"/>
        </w:rPr>
      </w:pPr>
      <w:r>
        <w:rPr>
          <w:sz w:val="23"/>
          <w:szCs w:val="23"/>
        </w:rPr>
        <w:t xml:space="preserve">1.1.3.- </w:t>
      </w:r>
      <w:r w:rsidR="00DD0F2C">
        <w:rPr>
          <w:sz w:val="23"/>
          <w:szCs w:val="23"/>
        </w:rPr>
        <w:t xml:space="preserve">Nombre del proyecto. </w:t>
      </w:r>
    </w:p>
    <w:p w14:paraId="34928CB1" w14:textId="42091EC8" w:rsidR="00DD0F2C" w:rsidRDefault="00BC4D32" w:rsidP="00B60A2D">
      <w:pPr>
        <w:pStyle w:val="Default"/>
        <w:spacing w:after="22"/>
        <w:ind w:left="993" w:hanging="709"/>
        <w:rPr>
          <w:sz w:val="23"/>
          <w:szCs w:val="23"/>
        </w:rPr>
      </w:pPr>
      <w:r>
        <w:rPr>
          <w:sz w:val="23"/>
          <w:szCs w:val="23"/>
        </w:rPr>
        <w:t xml:space="preserve">1.1.4.- </w:t>
      </w:r>
      <w:r w:rsidR="00DD0F2C">
        <w:rPr>
          <w:sz w:val="23"/>
          <w:szCs w:val="23"/>
        </w:rPr>
        <w:t xml:space="preserve">Dirección de la instalación para la cual se solicita el servicio. </w:t>
      </w:r>
    </w:p>
    <w:p w14:paraId="752C3B8A" w14:textId="78315F4C" w:rsidR="00DD0F2C" w:rsidRDefault="00BC4D32" w:rsidP="00B60A2D">
      <w:pPr>
        <w:pStyle w:val="Default"/>
        <w:spacing w:after="22"/>
        <w:ind w:left="993" w:hanging="709"/>
        <w:rPr>
          <w:sz w:val="23"/>
          <w:szCs w:val="23"/>
        </w:rPr>
      </w:pPr>
      <w:r>
        <w:rPr>
          <w:sz w:val="23"/>
          <w:szCs w:val="23"/>
        </w:rPr>
        <w:t xml:space="preserve">1.1.5.- </w:t>
      </w:r>
      <w:r w:rsidR="00DD0F2C">
        <w:rPr>
          <w:sz w:val="23"/>
          <w:szCs w:val="23"/>
        </w:rPr>
        <w:t xml:space="preserve">El rótulo del poste o cámara más cercano a la propiedad donde se realizarán las obras. </w:t>
      </w:r>
    </w:p>
    <w:p w14:paraId="3CF503C9" w14:textId="1BB2AC28" w:rsidR="00DD0F2C" w:rsidRDefault="00BC4D32" w:rsidP="00B60A2D">
      <w:pPr>
        <w:pStyle w:val="Default"/>
        <w:spacing w:after="22"/>
        <w:ind w:left="993" w:hanging="709"/>
        <w:rPr>
          <w:sz w:val="23"/>
          <w:szCs w:val="23"/>
        </w:rPr>
      </w:pPr>
      <w:r>
        <w:rPr>
          <w:sz w:val="23"/>
          <w:szCs w:val="23"/>
        </w:rPr>
        <w:t xml:space="preserve">1.1.6.- </w:t>
      </w:r>
      <w:r w:rsidR="00DD0F2C">
        <w:rPr>
          <w:sz w:val="23"/>
          <w:szCs w:val="23"/>
        </w:rPr>
        <w:t xml:space="preserve">Detalle de potencia en kW y tipo de Empalme individualizado por suministro y cuadro de resumen por cantidad y tipos de Empalmes. </w:t>
      </w:r>
    </w:p>
    <w:p w14:paraId="1E9F0A2B" w14:textId="7E633693" w:rsidR="00DD0F2C" w:rsidRDefault="00BC4D32" w:rsidP="00B60A2D">
      <w:pPr>
        <w:pStyle w:val="Default"/>
        <w:spacing w:after="22"/>
        <w:ind w:left="993" w:hanging="709"/>
        <w:rPr>
          <w:sz w:val="23"/>
          <w:szCs w:val="23"/>
        </w:rPr>
      </w:pPr>
      <w:r>
        <w:rPr>
          <w:sz w:val="23"/>
          <w:szCs w:val="23"/>
        </w:rPr>
        <w:t xml:space="preserve">1.1.7.- </w:t>
      </w:r>
      <w:r w:rsidR="00DD0F2C">
        <w:rPr>
          <w:sz w:val="23"/>
          <w:szCs w:val="23"/>
        </w:rPr>
        <w:t xml:space="preserve">Coordenadas geográficas de la propiedad, en coordenadas cartesianas UTM o geodésicas DATUM WGS8. </w:t>
      </w:r>
    </w:p>
    <w:p w14:paraId="5655C66C" w14:textId="07BA668E" w:rsidR="00DD0F2C" w:rsidRDefault="00BC4D32" w:rsidP="00B60A2D">
      <w:pPr>
        <w:pStyle w:val="Default"/>
        <w:spacing w:after="22"/>
        <w:ind w:left="993" w:hanging="709"/>
        <w:rPr>
          <w:sz w:val="23"/>
          <w:szCs w:val="23"/>
        </w:rPr>
      </w:pPr>
      <w:r>
        <w:rPr>
          <w:sz w:val="23"/>
          <w:szCs w:val="23"/>
        </w:rPr>
        <w:t xml:space="preserve">1.1.8.- </w:t>
      </w:r>
      <w:r w:rsidR="00DD0F2C">
        <w:rPr>
          <w:sz w:val="23"/>
          <w:szCs w:val="23"/>
        </w:rPr>
        <w:t xml:space="preserve">Croquis de ubicación de la propiedad indicando las calles que delimitan la manzana. En caso de no ser posible, deberá incluir alguna referencia con respecto a un camino, calle o punto de referencia más cercano. </w:t>
      </w:r>
    </w:p>
    <w:p w14:paraId="33A9FCEB" w14:textId="02C756CE" w:rsidR="00DD0F2C" w:rsidRDefault="00BC4D32" w:rsidP="00B60A2D">
      <w:pPr>
        <w:pStyle w:val="Default"/>
        <w:spacing w:after="22"/>
        <w:ind w:left="993" w:hanging="709"/>
        <w:rPr>
          <w:sz w:val="23"/>
          <w:szCs w:val="23"/>
        </w:rPr>
      </w:pPr>
      <w:r>
        <w:rPr>
          <w:sz w:val="23"/>
          <w:szCs w:val="23"/>
        </w:rPr>
        <w:t xml:space="preserve">1.1.9.- </w:t>
      </w:r>
      <w:r w:rsidR="00DD0F2C">
        <w:rPr>
          <w:sz w:val="23"/>
          <w:szCs w:val="23"/>
        </w:rPr>
        <w:t xml:space="preserve">Planos del loteo del condominio o conjunto habitacional, y de planta y elevación para edificios o centros comerciales, según corresponda. En estos se deberán detallar claramente las áreas comunes y/o espacios destinados al montaje de Empalmes y trazado propuesto de la alimentación del Empalme, detalles de las dimensiones de los </w:t>
      </w:r>
      <w:r w:rsidR="00DD0F2C">
        <w:rPr>
          <w:i/>
          <w:iCs/>
          <w:sz w:val="23"/>
          <w:szCs w:val="23"/>
        </w:rPr>
        <w:t xml:space="preserve">shaft </w:t>
      </w:r>
      <w:r w:rsidR="00DD0F2C">
        <w:rPr>
          <w:sz w:val="23"/>
          <w:szCs w:val="23"/>
        </w:rPr>
        <w:t xml:space="preserve">y Verticales, cuando corresponda, etc. </w:t>
      </w:r>
    </w:p>
    <w:p w14:paraId="1B589B7D" w14:textId="23BB7358" w:rsidR="00DD0F2C" w:rsidRDefault="00BC4D32" w:rsidP="00B60A2D">
      <w:pPr>
        <w:pStyle w:val="Default"/>
        <w:spacing w:after="22"/>
        <w:ind w:left="993" w:hanging="709"/>
        <w:rPr>
          <w:sz w:val="23"/>
          <w:szCs w:val="23"/>
        </w:rPr>
      </w:pPr>
      <w:r>
        <w:rPr>
          <w:sz w:val="23"/>
          <w:szCs w:val="23"/>
        </w:rPr>
        <w:t xml:space="preserve">1.1.10.- </w:t>
      </w:r>
      <w:r w:rsidR="00DD0F2C">
        <w:rPr>
          <w:sz w:val="23"/>
          <w:szCs w:val="23"/>
        </w:rPr>
        <w:t xml:space="preserve">Indicar la modalidad para la construcción de los Empalmes. </w:t>
      </w:r>
    </w:p>
    <w:p w14:paraId="3151D544" w14:textId="6A1DAA1A" w:rsidR="00DD0F2C" w:rsidRDefault="00BC4D32" w:rsidP="00B60A2D">
      <w:pPr>
        <w:pStyle w:val="Default"/>
        <w:spacing w:after="22"/>
        <w:ind w:left="993" w:hanging="709"/>
        <w:rPr>
          <w:sz w:val="23"/>
          <w:szCs w:val="23"/>
        </w:rPr>
      </w:pPr>
      <w:r>
        <w:rPr>
          <w:sz w:val="23"/>
          <w:szCs w:val="23"/>
        </w:rPr>
        <w:t xml:space="preserve">1.1.11.- </w:t>
      </w:r>
      <w:r w:rsidR="00DD0F2C">
        <w:rPr>
          <w:sz w:val="23"/>
          <w:szCs w:val="23"/>
        </w:rPr>
        <w:t xml:space="preserve">Deberá indicar si se requieren los datos de niveles de cortocircuitos. </w:t>
      </w:r>
    </w:p>
    <w:p w14:paraId="2B6F56CA" w14:textId="3C5712AD" w:rsidR="00DD0F2C" w:rsidRDefault="00BC4D32" w:rsidP="00B60A2D">
      <w:pPr>
        <w:pStyle w:val="Default"/>
        <w:spacing w:after="22"/>
        <w:ind w:left="993" w:hanging="709"/>
        <w:rPr>
          <w:sz w:val="23"/>
          <w:szCs w:val="23"/>
        </w:rPr>
      </w:pPr>
      <w:r>
        <w:rPr>
          <w:sz w:val="23"/>
          <w:szCs w:val="23"/>
        </w:rPr>
        <w:t xml:space="preserve">1.1.12.- </w:t>
      </w:r>
      <w:r w:rsidR="00DD0F2C">
        <w:rPr>
          <w:sz w:val="23"/>
          <w:szCs w:val="23"/>
        </w:rPr>
        <w:t xml:space="preserve">Planos de interferencias con otros servicios básicos (agua, gas, telecomunicaciones). </w:t>
      </w:r>
    </w:p>
    <w:p w14:paraId="696148FD" w14:textId="73A1A90A" w:rsidR="00DD0F2C" w:rsidRDefault="00BC4D32" w:rsidP="00B60A2D">
      <w:pPr>
        <w:pStyle w:val="Default"/>
        <w:ind w:left="993" w:hanging="709"/>
        <w:rPr>
          <w:sz w:val="23"/>
          <w:szCs w:val="23"/>
        </w:rPr>
      </w:pPr>
      <w:r>
        <w:rPr>
          <w:sz w:val="23"/>
          <w:szCs w:val="23"/>
        </w:rPr>
        <w:t>1.1.13.- R</w:t>
      </w:r>
      <w:r w:rsidR="00DD0F2C">
        <w:rPr>
          <w:sz w:val="23"/>
          <w:szCs w:val="23"/>
        </w:rPr>
        <w:t xml:space="preserve">oles de la propiedad en caso de Parcelaciones o Loteos </w:t>
      </w:r>
    </w:p>
    <w:p w14:paraId="543A084C" w14:textId="77777777" w:rsidR="00DD0F2C" w:rsidRDefault="00DD0F2C" w:rsidP="00BC4D32">
      <w:pPr>
        <w:pStyle w:val="Default"/>
        <w:rPr>
          <w:sz w:val="23"/>
          <w:szCs w:val="23"/>
        </w:rPr>
      </w:pPr>
    </w:p>
    <w:p w14:paraId="7350339A" w14:textId="77777777" w:rsidR="00DD0F2C" w:rsidRDefault="00DD0F2C" w:rsidP="00DD0F2C">
      <w:pPr>
        <w:pStyle w:val="Default"/>
        <w:rPr>
          <w:sz w:val="23"/>
          <w:szCs w:val="23"/>
        </w:rPr>
      </w:pPr>
      <w:r>
        <w:rPr>
          <w:sz w:val="23"/>
          <w:szCs w:val="23"/>
        </w:rPr>
        <w:t xml:space="preserve">A contar de la fecha de ingreso de la solicitud, la Empresa Distribuidora dispondrá de un plazo de 25 días hábiles para analizar los antecedentes y realizar una visita técnica en terreno a la obra. </w:t>
      </w:r>
    </w:p>
    <w:p w14:paraId="504E5F74" w14:textId="77777777" w:rsidR="00BC4D32" w:rsidRDefault="00BC4D32" w:rsidP="00DD0F2C">
      <w:pPr>
        <w:pStyle w:val="Default"/>
        <w:rPr>
          <w:sz w:val="23"/>
          <w:szCs w:val="23"/>
        </w:rPr>
      </w:pPr>
    </w:p>
    <w:p w14:paraId="2F0D0F88" w14:textId="66D88E1C" w:rsidR="00E22275" w:rsidRDefault="00DD0F2C" w:rsidP="00DD0F2C">
      <w:pPr>
        <w:pStyle w:val="Default"/>
        <w:jc w:val="both"/>
        <w:rPr>
          <w:sz w:val="23"/>
          <w:szCs w:val="23"/>
        </w:rPr>
      </w:pPr>
      <w:r>
        <w:rPr>
          <w:sz w:val="23"/>
          <w:szCs w:val="23"/>
        </w:rPr>
        <w:t>Si, como resultado de la evaluación técnica de la vista en terreno, la Empresa Distribuidora determina, justificadamente, la necesidad de que el Requirente corrija o entregue antecedentes adicionales, dispondrá de 10 días hábiles para notificar al Requirente, detallando cada uno de los antecedentes que debe corregir o completar.</w:t>
      </w:r>
    </w:p>
    <w:p w14:paraId="6A7BB487" w14:textId="77777777" w:rsidR="007A747F" w:rsidRDefault="007A747F" w:rsidP="00DD0F2C">
      <w:pPr>
        <w:pStyle w:val="Default"/>
        <w:jc w:val="both"/>
        <w:rPr>
          <w:sz w:val="23"/>
          <w:szCs w:val="23"/>
        </w:rPr>
      </w:pPr>
    </w:p>
    <w:p w14:paraId="40A92CEC" w14:textId="77777777" w:rsidR="007A747F" w:rsidRDefault="007A747F" w:rsidP="007A747F">
      <w:pPr>
        <w:pStyle w:val="Default"/>
        <w:jc w:val="both"/>
        <w:rPr>
          <w:sz w:val="23"/>
          <w:szCs w:val="23"/>
        </w:rPr>
      </w:pPr>
      <w:r>
        <w:rPr>
          <w:sz w:val="23"/>
          <w:szCs w:val="23"/>
        </w:rPr>
        <w:t>Desde el momento en que el Requirente haya sido notificado, este dispondrá de hasta 15 días hábiles para corregir o completar los antecedentes observados por la Empresa Distribuidora.</w:t>
      </w:r>
    </w:p>
    <w:p w14:paraId="0D2089E1" w14:textId="6F48386A" w:rsidR="007A747F" w:rsidRDefault="007A747F" w:rsidP="007A747F">
      <w:pPr>
        <w:pStyle w:val="Default"/>
        <w:jc w:val="both"/>
        <w:rPr>
          <w:sz w:val="23"/>
          <w:szCs w:val="23"/>
        </w:rPr>
      </w:pPr>
      <w:r>
        <w:rPr>
          <w:sz w:val="23"/>
          <w:szCs w:val="23"/>
        </w:rPr>
        <w:t xml:space="preserve"> </w:t>
      </w:r>
    </w:p>
    <w:p w14:paraId="5FA7324E" w14:textId="77777777" w:rsidR="007A747F" w:rsidRDefault="007A747F" w:rsidP="007A747F">
      <w:pPr>
        <w:pStyle w:val="Default"/>
        <w:jc w:val="both"/>
        <w:rPr>
          <w:sz w:val="23"/>
          <w:szCs w:val="23"/>
        </w:rPr>
      </w:pPr>
      <w:r>
        <w:rPr>
          <w:sz w:val="23"/>
          <w:szCs w:val="23"/>
        </w:rPr>
        <w:t xml:space="preserve">Desde la fecha de entrega de dichos antecedentes por parte del Requirente, la Empresa Distribuidora dispondrá de 25 días hábiles para dar respuesta a la solicitud de conexión de suministros múltiples. </w:t>
      </w:r>
    </w:p>
    <w:p w14:paraId="281C7CA4" w14:textId="77777777" w:rsidR="00E22275" w:rsidRDefault="00E22275" w:rsidP="00E22275">
      <w:pPr>
        <w:pStyle w:val="Default"/>
        <w:jc w:val="both"/>
        <w:rPr>
          <w:sz w:val="23"/>
          <w:szCs w:val="23"/>
        </w:rPr>
      </w:pPr>
    </w:p>
    <w:p w14:paraId="60C0FA4C" w14:textId="43460229" w:rsidR="007A747F" w:rsidRPr="007A747F" w:rsidRDefault="007A747F" w:rsidP="00150AFF">
      <w:pPr>
        <w:pStyle w:val="Default"/>
        <w:spacing w:after="23"/>
        <w:jc w:val="both"/>
        <w:rPr>
          <w:b/>
          <w:bCs/>
          <w:u w:val="single"/>
        </w:rPr>
      </w:pPr>
      <w:r w:rsidRPr="007A747F">
        <w:rPr>
          <w:b/>
          <w:bCs/>
          <w:u w:val="single"/>
        </w:rPr>
        <w:t xml:space="preserve">1.2.- </w:t>
      </w:r>
      <w:r w:rsidR="00BC4D32" w:rsidRPr="007A747F">
        <w:rPr>
          <w:b/>
          <w:bCs/>
          <w:u w:val="single"/>
        </w:rPr>
        <w:t>Respuesta a la solicitud de conexión de suministros múltiples:</w:t>
      </w:r>
    </w:p>
    <w:p w14:paraId="10EC5F1C" w14:textId="77777777" w:rsidR="007A747F" w:rsidRDefault="007A747F" w:rsidP="007A747F">
      <w:pPr>
        <w:pStyle w:val="Default"/>
        <w:jc w:val="both"/>
        <w:rPr>
          <w:sz w:val="23"/>
          <w:szCs w:val="23"/>
        </w:rPr>
      </w:pPr>
    </w:p>
    <w:p w14:paraId="05019E92" w14:textId="1D9EE9E3" w:rsidR="007A747F" w:rsidRDefault="007A747F" w:rsidP="007A747F">
      <w:pPr>
        <w:pStyle w:val="Default"/>
        <w:spacing w:after="23"/>
        <w:jc w:val="both"/>
        <w:rPr>
          <w:sz w:val="23"/>
          <w:szCs w:val="23"/>
        </w:rPr>
      </w:pPr>
      <w:r>
        <w:rPr>
          <w:sz w:val="23"/>
          <w:szCs w:val="23"/>
        </w:rPr>
        <w:t>La Respuesta de la Empresa Distribuidora a la solicitud de conexión de suministros múltiples deberá indicar, al menos, lo siguiente</w:t>
      </w:r>
      <w:r>
        <w:rPr>
          <w:sz w:val="23"/>
          <w:szCs w:val="23"/>
        </w:rPr>
        <w:t>:</w:t>
      </w:r>
    </w:p>
    <w:p w14:paraId="56456DE7" w14:textId="77777777" w:rsidR="007A747F" w:rsidRDefault="007A747F" w:rsidP="007A747F">
      <w:pPr>
        <w:pStyle w:val="Default"/>
        <w:spacing w:after="23"/>
        <w:jc w:val="both"/>
      </w:pPr>
    </w:p>
    <w:p w14:paraId="55CECB8B" w14:textId="34599B19" w:rsidR="00BC4D32" w:rsidRDefault="007A747F" w:rsidP="007A747F">
      <w:pPr>
        <w:pStyle w:val="Default"/>
        <w:spacing w:after="23"/>
        <w:ind w:left="993" w:hanging="709"/>
        <w:jc w:val="both"/>
        <w:rPr>
          <w:sz w:val="23"/>
          <w:szCs w:val="23"/>
        </w:rPr>
      </w:pPr>
      <w:r>
        <w:t xml:space="preserve">1.2.1.- </w:t>
      </w:r>
      <w:r w:rsidR="00BC4D32">
        <w:rPr>
          <w:sz w:val="23"/>
          <w:szCs w:val="23"/>
        </w:rPr>
        <w:t xml:space="preserve">Identificador único y correlativo correspondiente al número de expediente referido en el Artículo 5-8 de esta NT. </w:t>
      </w:r>
    </w:p>
    <w:p w14:paraId="79637905" w14:textId="3B73A048" w:rsidR="00BC4D32" w:rsidRDefault="007A747F" w:rsidP="007A747F">
      <w:pPr>
        <w:pStyle w:val="Default"/>
        <w:spacing w:after="23"/>
        <w:ind w:left="993" w:hanging="709"/>
        <w:jc w:val="both"/>
        <w:rPr>
          <w:sz w:val="23"/>
          <w:szCs w:val="23"/>
        </w:rPr>
      </w:pPr>
      <w:r>
        <w:rPr>
          <w:sz w:val="23"/>
          <w:szCs w:val="23"/>
        </w:rPr>
        <w:t xml:space="preserve">1.2.2.- </w:t>
      </w:r>
      <w:r w:rsidR="00BC4D32">
        <w:rPr>
          <w:sz w:val="23"/>
          <w:szCs w:val="23"/>
        </w:rPr>
        <w:t xml:space="preserve">Datos del Requirente y propietario del inmueble objeto de la solicitud. </w:t>
      </w:r>
    </w:p>
    <w:p w14:paraId="7826B9BC" w14:textId="28F78BB4" w:rsidR="00BC4D32" w:rsidRDefault="007A747F" w:rsidP="007A747F">
      <w:pPr>
        <w:pStyle w:val="Default"/>
        <w:spacing w:after="23"/>
        <w:ind w:left="993" w:hanging="709"/>
        <w:jc w:val="both"/>
        <w:rPr>
          <w:sz w:val="23"/>
          <w:szCs w:val="23"/>
        </w:rPr>
      </w:pPr>
      <w:r>
        <w:rPr>
          <w:sz w:val="23"/>
          <w:szCs w:val="23"/>
        </w:rPr>
        <w:t xml:space="preserve">1.2.2.- </w:t>
      </w:r>
      <w:r w:rsidR="00BC4D32">
        <w:rPr>
          <w:sz w:val="23"/>
          <w:szCs w:val="23"/>
        </w:rPr>
        <w:t xml:space="preserve">Dirección de la instalación para la cual se solicita el servicio. </w:t>
      </w:r>
    </w:p>
    <w:p w14:paraId="00B06A7F" w14:textId="2FD215BF" w:rsidR="00BC4D32" w:rsidRDefault="007A747F" w:rsidP="007A747F">
      <w:pPr>
        <w:pStyle w:val="Default"/>
        <w:spacing w:after="23"/>
        <w:ind w:left="993" w:hanging="709"/>
        <w:jc w:val="both"/>
        <w:rPr>
          <w:sz w:val="23"/>
          <w:szCs w:val="23"/>
        </w:rPr>
      </w:pPr>
      <w:r>
        <w:rPr>
          <w:sz w:val="23"/>
          <w:szCs w:val="23"/>
        </w:rPr>
        <w:t xml:space="preserve">1.2.4.- </w:t>
      </w:r>
      <w:r w:rsidR="00BC4D32">
        <w:rPr>
          <w:sz w:val="23"/>
          <w:szCs w:val="23"/>
        </w:rPr>
        <w:t xml:space="preserve">La fecha de ingreso y fecha de respuesta a la solicitud de conexión de suministros múltiples. </w:t>
      </w:r>
    </w:p>
    <w:p w14:paraId="0AF22DBB" w14:textId="63334BFE" w:rsidR="00BC4D32" w:rsidRDefault="007A747F" w:rsidP="007A747F">
      <w:pPr>
        <w:pStyle w:val="Default"/>
        <w:spacing w:after="23"/>
        <w:ind w:left="993" w:hanging="709"/>
        <w:jc w:val="both"/>
        <w:rPr>
          <w:sz w:val="23"/>
          <w:szCs w:val="23"/>
        </w:rPr>
      </w:pPr>
      <w:r>
        <w:rPr>
          <w:sz w:val="23"/>
          <w:szCs w:val="23"/>
        </w:rPr>
        <w:t xml:space="preserve">1.2.5.- </w:t>
      </w:r>
      <w:r w:rsidR="00BC4D32">
        <w:rPr>
          <w:sz w:val="23"/>
          <w:szCs w:val="23"/>
        </w:rPr>
        <w:t xml:space="preserve">El rótulo de poste o cámara definido por la Empresa Distribuidora como Punto de Conexión. </w:t>
      </w:r>
    </w:p>
    <w:p w14:paraId="07D11D21" w14:textId="64AFAF2B" w:rsidR="00BC4D32" w:rsidRDefault="007A747F" w:rsidP="007A747F">
      <w:pPr>
        <w:pStyle w:val="Default"/>
        <w:spacing w:after="23"/>
        <w:ind w:left="993" w:hanging="709"/>
        <w:jc w:val="both"/>
        <w:rPr>
          <w:sz w:val="23"/>
          <w:szCs w:val="23"/>
        </w:rPr>
      </w:pPr>
      <w:r>
        <w:rPr>
          <w:sz w:val="23"/>
          <w:szCs w:val="23"/>
        </w:rPr>
        <w:t xml:space="preserve">1.2.6.- </w:t>
      </w:r>
      <w:r w:rsidR="00BC4D32">
        <w:rPr>
          <w:sz w:val="23"/>
          <w:szCs w:val="23"/>
        </w:rPr>
        <w:t xml:space="preserve">Listado de Empalmes requeridos, indicado tipo de Empalme, potencia requerida y nivel de tensión. </w:t>
      </w:r>
    </w:p>
    <w:p w14:paraId="7C5730D2" w14:textId="0681698F" w:rsidR="00BC4D32" w:rsidRDefault="007A747F" w:rsidP="007A747F">
      <w:pPr>
        <w:pStyle w:val="Default"/>
        <w:spacing w:after="23"/>
        <w:ind w:left="993" w:hanging="709"/>
        <w:jc w:val="both"/>
        <w:rPr>
          <w:sz w:val="23"/>
          <w:szCs w:val="23"/>
        </w:rPr>
      </w:pPr>
      <w:r>
        <w:rPr>
          <w:sz w:val="23"/>
          <w:szCs w:val="23"/>
        </w:rPr>
        <w:t xml:space="preserve">1.2.7.- </w:t>
      </w:r>
      <w:r w:rsidR="00BC4D32">
        <w:rPr>
          <w:sz w:val="23"/>
          <w:szCs w:val="23"/>
        </w:rPr>
        <w:t xml:space="preserve">En el caso de una solicitud de conexión de suministro de potencia a conectar superior a 10 kW, suministros en MT, o si el Requirente lo solicita expresamente, la Empresa Distribuidora deberá indicar también los niveles de cortocircuito en Baja o Media Tensión en el Punto de Conexión, según corresponda. </w:t>
      </w:r>
    </w:p>
    <w:p w14:paraId="37F8E8D4" w14:textId="3F945CFA" w:rsidR="00BC4D32" w:rsidRDefault="007A747F" w:rsidP="007A747F">
      <w:pPr>
        <w:pStyle w:val="Default"/>
        <w:spacing w:after="23"/>
        <w:ind w:left="993" w:hanging="709"/>
        <w:jc w:val="both"/>
        <w:rPr>
          <w:sz w:val="23"/>
          <w:szCs w:val="23"/>
        </w:rPr>
      </w:pPr>
      <w:r>
        <w:rPr>
          <w:sz w:val="23"/>
          <w:szCs w:val="23"/>
        </w:rPr>
        <w:t xml:space="preserve">1.2.8.- </w:t>
      </w:r>
      <w:r w:rsidR="00BC4D32">
        <w:rPr>
          <w:sz w:val="23"/>
          <w:szCs w:val="23"/>
        </w:rPr>
        <w:t xml:space="preserve">Si el servicio solicitado se encuentra dentro o fuera de la Zona de Concesión. En este último caso indicar las alternativas disponibles para entregar el suministro (líneas propias, de terceros o punto más cercano a la Red de Distribución). </w:t>
      </w:r>
    </w:p>
    <w:p w14:paraId="6308EAE6" w14:textId="3EBD2B58" w:rsidR="00BC4D32" w:rsidRDefault="007A747F" w:rsidP="007A747F">
      <w:pPr>
        <w:pStyle w:val="Default"/>
        <w:spacing w:after="23"/>
        <w:ind w:left="993" w:hanging="709"/>
        <w:jc w:val="both"/>
        <w:rPr>
          <w:sz w:val="23"/>
          <w:szCs w:val="23"/>
        </w:rPr>
      </w:pPr>
      <w:r>
        <w:rPr>
          <w:sz w:val="23"/>
          <w:szCs w:val="23"/>
        </w:rPr>
        <w:t xml:space="preserve">1.2.9.- </w:t>
      </w:r>
      <w:r w:rsidR="00BC4D32">
        <w:rPr>
          <w:sz w:val="23"/>
          <w:szCs w:val="23"/>
        </w:rPr>
        <w:t xml:space="preserve">El presupuesto según la modalidad indicada por el Requirente: (i) por las obras de construcción de los Empalmes por parte de la Empresa Distribuidora; (ii) por la elaboración del proyecto aportado por la Empresa Distribuidora; o (iii) por la revisión y aprobación del proyecto de Empalmes múltiples entregado por el Requirente o el tercero, según corresponda. </w:t>
      </w:r>
    </w:p>
    <w:p w14:paraId="68286A3F" w14:textId="6A6E5322" w:rsidR="00BC4D32" w:rsidRDefault="007A747F" w:rsidP="007A747F">
      <w:pPr>
        <w:pStyle w:val="Default"/>
        <w:spacing w:after="23"/>
        <w:ind w:left="993" w:hanging="709"/>
        <w:jc w:val="both"/>
        <w:rPr>
          <w:sz w:val="23"/>
          <w:szCs w:val="23"/>
        </w:rPr>
      </w:pPr>
      <w:r>
        <w:rPr>
          <w:sz w:val="23"/>
          <w:szCs w:val="23"/>
        </w:rPr>
        <w:t xml:space="preserve">1.2.10.- </w:t>
      </w:r>
      <w:r w:rsidR="00BC4D32">
        <w:rPr>
          <w:sz w:val="23"/>
          <w:szCs w:val="23"/>
        </w:rPr>
        <w:t xml:space="preserve">Un presupuesto detallado, con sus respectivas cantidades y valores. En el caso de las nuevas instalaciones de distribución deberán indicar además el código VNR correspondiente. En el caso de retiro de instalaciones, u otras obras no contempladas en las categorías anteriores se deberá detallar y justificar de forma independiente. </w:t>
      </w:r>
    </w:p>
    <w:p w14:paraId="7180D3EB" w14:textId="69D802B9" w:rsidR="00BC4D32" w:rsidRDefault="007A747F" w:rsidP="007A747F">
      <w:pPr>
        <w:pStyle w:val="Default"/>
        <w:spacing w:after="23"/>
        <w:ind w:left="993" w:hanging="709"/>
        <w:jc w:val="both"/>
        <w:rPr>
          <w:sz w:val="23"/>
          <w:szCs w:val="23"/>
        </w:rPr>
      </w:pPr>
      <w:r>
        <w:rPr>
          <w:sz w:val="23"/>
          <w:szCs w:val="23"/>
        </w:rPr>
        <w:t xml:space="preserve">1.2.11.- </w:t>
      </w:r>
      <w:r w:rsidR="00BC4D32">
        <w:rPr>
          <w:sz w:val="23"/>
          <w:szCs w:val="23"/>
        </w:rPr>
        <w:t xml:space="preserve">Los planos asociados a las obras adicionales en la Red de Distribución que sean necesarias para autorizar la solicitud del Requirente. </w:t>
      </w:r>
    </w:p>
    <w:p w14:paraId="764EC0D3" w14:textId="7FB9BC14" w:rsidR="00BC4D32" w:rsidRDefault="007A747F" w:rsidP="007A747F">
      <w:pPr>
        <w:pStyle w:val="Default"/>
        <w:ind w:left="993" w:hanging="709"/>
        <w:jc w:val="both"/>
        <w:rPr>
          <w:sz w:val="23"/>
          <w:szCs w:val="23"/>
        </w:rPr>
      </w:pPr>
      <w:r>
        <w:rPr>
          <w:sz w:val="23"/>
          <w:szCs w:val="23"/>
        </w:rPr>
        <w:t xml:space="preserve">1.2.12.- </w:t>
      </w:r>
      <w:r w:rsidR="00BC4D32">
        <w:rPr>
          <w:sz w:val="23"/>
          <w:szCs w:val="23"/>
        </w:rPr>
        <w:t xml:space="preserve">El cronograma de ejecución de las obras adicionales en la Red de Distribución por parte de la Empresa Distribuidora, indicando los hitos principales y plazos en que serán implementadas. </w:t>
      </w:r>
    </w:p>
    <w:p w14:paraId="24DF5C21" w14:textId="3B7614E9" w:rsidR="007A747F" w:rsidRDefault="0092794B" w:rsidP="0092794B">
      <w:pPr>
        <w:pStyle w:val="Default"/>
        <w:spacing w:after="25"/>
        <w:ind w:left="993" w:hanging="709"/>
        <w:jc w:val="both"/>
        <w:rPr>
          <w:sz w:val="23"/>
          <w:szCs w:val="23"/>
        </w:rPr>
      </w:pPr>
      <w:r>
        <w:rPr>
          <w:sz w:val="23"/>
          <w:szCs w:val="23"/>
        </w:rPr>
        <w:t xml:space="preserve">1.2.13.- </w:t>
      </w:r>
      <w:r w:rsidR="007A747F">
        <w:rPr>
          <w:sz w:val="23"/>
          <w:szCs w:val="23"/>
        </w:rPr>
        <w:t xml:space="preserve">La modalidad de financiamiento de las obras adicionales requeridas en la Red de Distribución (de cargo de la Empresa Distribuidora o mediante aportes financieros reembolsables) y la indicación de si dichas obras se encuentran dentro de la Zona de Concesión. </w:t>
      </w:r>
    </w:p>
    <w:p w14:paraId="27DE3236" w14:textId="623C69AC" w:rsidR="007A747F" w:rsidRDefault="0092794B" w:rsidP="0092794B">
      <w:pPr>
        <w:pStyle w:val="Default"/>
        <w:spacing w:after="25"/>
        <w:ind w:left="993" w:hanging="709"/>
        <w:jc w:val="both"/>
        <w:rPr>
          <w:sz w:val="23"/>
          <w:szCs w:val="23"/>
        </w:rPr>
      </w:pPr>
      <w:r>
        <w:rPr>
          <w:sz w:val="23"/>
          <w:szCs w:val="23"/>
        </w:rPr>
        <w:t xml:space="preserve">1.2.14.- </w:t>
      </w:r>
      <w:r w:rsidR="007A747F">
        <w:rPr>
          <w:sz w:val="23"/>
          <w:szCs w:val="23"/>
        </w:rPr>
        <w:t xml:space="preserve">En caso de que se requieran garantías para caucionar la potencia solicitada, la Empresa Distribuidora deberá detallar las condiciones comerciales de la caución requerida. Ella deberá incluir, al menos, el detalle de cómo la Empresa Distribuidora determinó el monto de la garantía, el plazo de devolución de esta, y cualquier otra condición que considere relevante. Finalmente, deberá entregar al Requirente copia del contrato en que se establece las condiciones de las garantías requeridas, las cuales deberán cumplir con lo dispuesto en el Artículo 5-6. </w:t>
      </w:r>
    </w:p>
    <w:p w14:paraId="1238FB64" w14:textId="60E87118" w:rsidR="007A747F" w:rsidRDefault="0092794B" w:rsidP="0092794B">
      <w:pPr>
        <w:pStyle w:val="Default"/>
        <w:spacing w:after="25"/>
        <w:ind w:left="993" w:hanging="709"/>
        <w:jc w:val="both"/>
        <w:rPr>
          <w:sz w:val="23"/>
          <w:szCs w:val="23"/>
        </w:rPr>
      </w:pPr>
      <w:r>
        <w:rPr>
          <w:sz w:val="23"/>
          <w:szCs w:val="23"/>
        </w:rPr>
        <w:t xml:space="preserve">1.2.15.- </w:t>
      </w:r>
      <w:r w:rsidR="007A747F">
        <w:rPr>
          <w:sz w:val="23"/>
          <w:szCs w:val="23"/>
        </w:rPr>
        <w:t xml:space="preserve">Detalle de las condiciones comerciales, montos, métodos y lugares de pago y plazos de devolución de los aportes financieros reembolsables, en el caso de que la Empresa Distribuidora decida cobrarlos al Requirente. La Empresa Distribuidora solo podrá elegir uno de los mecanismos de devolución establecidos en el Artículo 140° del DS 327 o del Artículo 72° del DFL N°5/2003, según corresponda. </w:t>
      </w:r>
    </w:p>
    <w:p w14:paraId="2F10E087" w14:textId="031D6F96" w:rsidR="007A747F" w:rsidRDefault="0092794B" w:rsidP="0092794B">
      <w:pPr>
        <w:pStyle w:val="Default"/>
        <w:spacing w:after="25"/>
        <w:ind w:left="993" w:hanging="709"/>
        <w:jc w:val="both"/>
        <w:rPr>
          <w:sz w:val="23"/>
          <w:szCs w:val="23"/>
        </w:rPr>
      </w:pPr>
      <w:r>
        <w:rPr>
          <w:sz w:val="23"/>
          <w:szCs w:val="23"/>
        </w:rPr>
        <w:t xml:space="preserve">1.2.16.- </w:t>
      </w:r>
      <w:r w:rsidR="007A747F">
        <w:rPr>
          <w:sz w:val="23"/>
          <w:szCs w:val="23"/>
        </w:rPr>
        <w:t xml:space="preserve">Detalle de los permisos a terceros que sean estrictamente necesarios para la ejecución de las obras, indicando valores y plazos referenciales. </w:t>
      </w:r>
    </w:p>
    <w:p w14:paraId="35827389" w14:textId="08986A54" w:rsidR="007A747F" w:rsidRDefault="0092794B" w:rsidP="0092794B">
      <w:pPr>
        <w:pStyle w:val="Default"/>
        <w:spacing w:after="25"/>
        <w:ind w:left="993" w:hanging="709"/>
        <w:jc w:val="both"/>
        <w:rPr>
          <w:sz w:val="23"/>
          <w:szCs w:val="23"/>
        </w:rPr>
      </w:pPr>
      <w:r>
        <w:rPr>
          <w:sz w:val="23"/>
          <w:szCs w:val="23"/>
        </w:rPr>
        <w:t xml:space="preserve">1.2.17.- </w:t>
      </w:r>
      <w:r w:rsidR="007A747F">
        <w:rPr>
          <w:sz w:val="23"/>
          <w:szCs w:val="23"/>
        </w:rPr>
        <w:t xml:space="preserve">Los plazos en que las obras adicionales en la Red de Distribución serán implementadas, los cuales no podrán superar los plazos establecidos en la presente NT. </w:t>
      </w:r>
    </w:p>
    <w:p w14:paraId="68971619" w14:textId="17F0DE0B" w:rsidR="007A747F" w:rsidRDefault="0092794B" w:rsidP="0092794B">
      <w:pPr>
        <w:pStyle w:val="Default"/>
        <w:spacing w:after="25"/>
        <w:ind w:left="993" w:hanging="709"/>
        <w:jc w:val="both"/>
        <w:rPr>
          <w:sz w:val="23"/>
          <w:szCs w:val="23"/>
        </w:rPr>
      </w:pPr>
      <w:r>
        <w:rPr>
          <w:sz w:val="23"/>
          <w:szCs w:val="23"/>
        </w:rPr>
        <w:t xml:space="preserve">1.2.18.- </w:t>
      </w:r>
      <w:r w:rsidR="007A747F">
        <w:rPr>
          <w:sz w:val="23"/>
          <w:szCs w:val="23"/>
        </w:rPr>
        <w:t xml:space="preserve">Copia o enlace electrónico en el que se pueda descargar el modelo de contrato de suministro. </w:t>
      </w:r>
    </w:p>
    <w:p w14:paraId="0737BA4A" w14:textId="199AEAC4" w:rsidR="007A747F" w:rsidRDefault="0092794B" w:rsidP="0092794B">
      <w:pPr>
        <w:pStyle w:val="Default"/>
        <w:ind w:left="993" w:hanging="709"/>
        <w:jc w:val="both"/>
        <w:rPr>
          <w:sz w:val="23"/>
          <w:szCs w:val="23"/>
        </w:rPr>
      </w:pPr>
      <w:r>
        <w:rPr>
          <w:sz w:val="23"/>
          <w:szCs w:val="23"/>
        </w:rPr>
        <w:t xml:space="preserve">1.2.19.- </w:t>
      </w:r>
      <w:r w:rsidR="007A747F">
        <w:rPr>
          <w:sz w:val="23"/>
          <w:szCs w:val="23"/>
        </w:rPr>
        <w:t xml:space="preserve">Indicar la siguiente etapa que le corresponde realizar dentro del proceso de conexión, los plazos y antecedentes necesarios para que el Requirente continue con la notificación de conexión de suministros múltiples. </w:t>
      </w:r>
    </w:p>
    <w:p w14:paraId="7FF2705C" w14:textId="77777777" w:rsidR="007A747F" w:rsidRDefault="007A747F" w:rsidP="0092794B">
      <w:pPr>
        <w:pStyle w:val="Default"/>
        <w:ind w:left="993"/>
        <w:jc w:val="both"/>
        <w:rPr>
          <w:sz w:val="23"/>
          <w:szCs w:val="23"/>
        </w:rPr>
      </w:pPr>
    </w:p>
    <w:p w14:paraId="71636DFD" w14:textId="77777777" w:rsidR="007A747F" w:rsidRDefault="007A747F" w:rsidP="007A747F">
      <w:pPr>
        <w:pStyle w:val="Default"/>
        <w:jc w:val="both"/>
        <w:rPr>
          <w:sz w:val="23"/>
          <w:szCs w:val="23"/>
        </w:rPr>
      </w:pPr>
      <w:r>
        <w:rPr>
          <w:sz w:val="23"/>
          <w:szCs w:val="23"/>
        </w:rPr>
        <w:t xml:space="preserve">La respuesta otorgada por la Empresa Distribuidora a la solicitud de conexión de suministros múltiples tendrá una vigencia mínima de 60 días hábiles y se mantendrá vigente en la medida que se mantengan las condiciones con las cuales fue otorgada. Si se presentan cambios que impidan mantener esta vigencia después de esos 60 días, se notificará la situación al Requirente. </w:t>
      </w:r>
    </w:p>
    <w:p w14:paraId="241F7F7A" w14:textId="77777777" w:rsidR="0092794B" w:rsidRDefault="0092794B" w:rsidP="007A747F">
      <w:pPr>
        <w:pStyle w:val="Default"/>
        <w:jc w:val="both"/>
        <w:rPr>
          <w:sz w:val="23"/>
          <w:szCs w:val="23"/>
        </w:rPr>
      </w:pPr>
    </w:p>
    <w:p w14:paraId="1DF78FED" w14:textId="77777777" w:rsidR="0092794B" w:rsidRDefault="0092794B" w:rsidP="007A747F">
      <w:pPr>
        <w:pStyle w:val="Default"/>
        <w:jc w:val="both"/>
        <w:rPr>
          <w:sz w:val="23"/>
          <w:szCs w:val="23"/>
        </w:rPr>
      </w:pPr>
    </w:p>
    <w:p w14:paraId="0E7F6F69" w14:textId="6FCA0BA5" w:rsidR="007A747F" w:rsidRPr="0092794B" w:rsidRDefault="0092794B" w:rsidP="0092794B">
      <w:pPr>
        <w:pStyle w:val="Default"/>
        <w:ind w:left="360" w:hanging="360"/>
        <w:jc w:val="both"/>
        <w:rPr>
          <w:b/>
          <w:bCs/>
          <w:sz w:val="23"/>
          <w:szCs w:val="23"/>
          <w:u w:val="single"/>
        </w:rPr>
      </w:pPr>
      <w:r w:rsidRPr="0092794B">
        <w:rPr>
          <w:b/>
          <w:bCs/>
          <w:sz w:val="23"/>
          <w:szCs w:val="23"/>
          <w:u w:val="single"/>
        </w:rPr>
        <w:t>2.</w:t>
      </w:r>
      <w:r w:rsidR="007A747F" w:rsidRPr="0092794B">
        <w:rPr>
          <w:b/>
          <w:bCs/>
          <w:sz w:val="23"/>
          <w:szCs w:val="23"/>
          <w:u w:val="single"/>
        </w:rPr>
        <w:t xml:space="preserve">- Aprobación proyecto de Empalmes múltiples </w:t>
      </w:r>
    </w:p>
    <w:p w14:paraId="49E1C338" w14:textId="77777777" w:rsidR="007A747F" w:rsidRDefault="007A747F" w:rsidP="007A747F">
      <w:pPr>
        <w:pStyle w:val="Default"/>
        <w:jc w:val="both"/>
        <w:rPr>
          <w:sz w:val="23"/>
          <w:szCs w:val="23"/>
        </w:rPr>
      </w:pPr>
    </w:p>
    <w:p w14:paraId="203C0128" w14:textId="77777777" w:rsidR="0092794B" w:rsidRDefault="007A747F" w:rsidP="007A747F">
      <w:pPr>
        <w:pStyle w:val="Default"/>
        <w:jc w:val="both"/>
        <w:rPr>
          <w:sz w:val="23"/>
          <w:szCs w:val="23"/>
        </w:rPr>
      </w:pPr>
      <w:r>
        <w:rPr>
          <w:sz w:val="23"/>
          <w:szCs w:val="23"/>
        </w:rPr>
        <w:t>Cuando el proyecto de Empalmes sea elaborado por la Empresa Distribuidora o las obras de construcción de Empalmes le hayan sido contratadas, la Empresa Distribuidora dispondrá de un plazo de 30 días hábiles, contados desde el pago del presupuesto, para enviar el proyecto al Requirente, quien dispondrá de 15 días hábiles desde la entrega de este para aprobarlo o realizarle observaciones.</w:t>
      </w:r>
    </w:p>
    <w:p w14:paraId="750B1E65" w14:textId="3D59270D" w:rsidR="007A747F" w:rsidRDefault="007A747F" w:rsidP="007A747F">
      <w:pPr>
        <w:pStyle w:val="Default"/>
        <w:jc w:val="both"/>
        <w:rPr>
          <w:sz w:val="23"/>
          <w:szCs w:val="23"/>
        </w:rPr>
      </w:pPr>
      <w:r>
        <w:rPr>
          <w:sz w:val="23"/>
          <w:szCs w:val="23"/>
        </w:rPr>
        <w:t xml:space="preserve"> </w:t>
      </w:r>
    </w:p>
    <w:p w14:paraId="46485291" w14:textId="469A0DD7" w:rsidR="00BC4D32" w:rsidRDefault="007A747F" w:rsidP="007A747F">
      <w:pPr>
        <w:pStyle w:val="Default"/>
        <w:jc w:val="both"/>
        <w:rPr>
          <w:sz w:val="23"/>
          <w:szCs w:val="23"/>
        </w:rPr>
      </w:pPr>
      <w:r>
        <w:rPr>
          <w:sz w:val="23"/>
          <w:szCs w:val="23"/>
        </w:rPr>
        <w:t>En caso de existir observaciones por parte del Requirente, la Empresa Distribuidora dispondrá de 10 días hábiles adicionales para enviar el proyecto de Empalmes corregido. En caso de que las partes no lleguen a acuerdo, podrán ingresar una solicitud a la Superintendencia para que esta resuelva.</w:t>
      </w:r>
    </w:p>
    <w:p w14:paraId="0F907243" w14:textId="0C802656" w:rsidR="00E22275" w:rsidRDefault="00E22275" w:rsidP="00150AFF">
      <w:pPr>
        <w:pStyle w:val="Default"/>
        <w:jc w:val="both"/>
        <w:rPr>
          <w:sz w:val="23"/>
          <w:szCs w:val="23"/>
        </w:rPr>
      </w:pPr>
    </w:p>
    <w:p w14:paraId="37CAE4EF" w14:textId="5BCD6CAC" w:rsidR="0092794B" w:rsidRDefault="0092794B" w:rsidP="0092794B">
      <w:pPr>
        <w:pStyle w:val="Default"/>
        <w:jc w:val="both"/>
        <w:rPr>
          <w:sz w:val="23"/>
          <w:szCs w:val="23"/>
        </w:rPr>
      </w:pPr>
      <w:r>
        <w:rPr>
          <w:sz w:val="23"/>
          <w:szCs w:val="23"/>
        </w:rPr>
        <w:t xml:space="preserve">Por </w:t>
      </w:r>
      <w:r>
        <w:rPr>
          <w:sz w:val="23"/>
          <w:szCs w:val="23"/>
        </w:rPr>
        <w:t xml:space="preserve">otra parte, cuando el proyecto de Empalmes haya sido elaborado por el Requirente o un tercero, la Empresa Distribuidora dispondrá de 20 días hábiles para enviar al Requirente o a quien este disponga como interlocutor, las observaciones al respectivo proyecto para que sean corregidas. La Empresa Distribuidora no podrá exigir condiciones superiores a las definidas en la normativa vigente. El Requirente dispondrá de hasta 20 días hábiles adicionales para corregir el proyecto de Empalmes. En caso de que las partes no lleguen a acuerdo, podrán ingresar una solicitud a la Superintendencia para que esta resuelva. </w:t>
      </w:r>
    </w:p>
    <w:p w14:paraId="685AD89C" w14:textId="77777777" w:rsidR="0092794B" w:rsidRDefault="0092794B" w:rsidP="0092794B">
      <w:pPr>
        <w:pStyle w:val="Default"/>
        <w:jc w:val="both"/>
        <w:rPr>
          <w:sz w:val="23"/>
          <w:szCs w:val="23"/>
        </w:rPr>
      </w:pPr>
    </w:p>
    <w:p w14:paraId="7DBD78AA" w14:textId="77777777" w:rsidR="0092794B" w:rsidRDefault="0092794B" w:rsidP="0092794B">
      <w:pPr>
        <w:pStyle w:val="Default"/>
        <w:jc w:val="both"/>
        <w:rPr>
          <w:sz w:val="23"/>
          <w:szCs w:val="23"/>
        </w:rPr>
      </w:pPr>
      <w:r>
        <w:rPr>
          <w:sz w:val="23"/>
          <w:szCs w:val="23"/>
        </w:rPr>
        <w:t xml:space="preserve">Una vez aprobado el proyecto de Empalmes por las partes en cualquiera de las modalidades, el Requirente, dentro de la vigencia de la oferta del proyecto, podrá firmar el contrato de suministro y pagar los costos correspondientes a la Empresa Distribuidora, según corresponda. Este pago será necesario para comenzar con la construcción de dicho proyecto, no siendo condición necesaria para comenzar dichos trabajos haber presentado previamente la notificación de conexión de suministros múltiples. El inicio de la construcción o conexión de los Empalmes quedará supeditado a la aprobación de los trabajos previos por parte de la Empresa Distribuidora, que no sean contratados a la Distribuidora. </w:t>
      </w:r>
    </w:p>
    <w:p w14:paraId="05BEA312" w14:textId="77777777" w:rsidR="0092794B" w:rsidRDefault="0092794B" w:rsidP="0092794B">
      <w:pPr>
        <w:pStyle w:val="Default"/>
        <w:jc w:val="both"/>
        <w:rPr>
          <w:sz w:val="23"/>
          <w:szCs w:val="23"/>
        </w:rPr>
      </w:pPr>
    </w:p>
    <w:p w14:paraId="0215EAD1" w14:textId="5FCA2DCD" w:rsidR="0092794B" w:rsidRDefault="0092794B" w:rsidP="0092794B">
      <w:pPr>
        <w:pStyle w:val="Default"/>
        <w:spacing w:after="142"/>
        <w:jc w:val="both"/>
        <w:rPr>
          <w:b/>
          <w:bCs/>
          <w:sz w:val="23"/>
          <w:szCs w:val="23"/>
          <w:u w:val="single"/>
        </w:rPr>
      </w:pPr>
      <w:r w:rsidRPr="0092794B">
        <w:rPr>
          <w:b/>
          <w:bCs/>
          <w:sz w:val="23"/>
          <w:szCs w:val="23"/>
          <w:u w:val="single"/>
        </w:rPr>
        <w:t xml:space="preserve">3.- </w:t>
      </w:r>
      <w:r w:rsidRPr="0092794B">
        <w:rPr>
          <w:b/>
          <w:bCs/>
          <w:sz w:val="23"/>
          <w:szCs w:val="23"/>
          <w:u w:val="single"/>
        </w:rPr>
        <w:t>Notificación de conexión de suministros múltiples</w:t>
      </w:r>
    </w:p>
    <w:p w14:paraId="0EF6E8AF" w14:textId="3149302E" w:rsidR="0092794B" w:rsidRDefault="0092794B" w:rsidP="0092794B">
      <w:pPr>
        <w:pStyle w:val="Default"/>
        <w:jc w:val="both"/>
        <w:rPr>
          <w:sz w:val="23"/>
          <w:szCs w:val="23"/>
        </w:rPr>
      </w:pPr>
      <w:r>
        <w:rPr>
          <w:sz w:val="23"/>
          <w:szCs w:val="23"/>
        </w:rPr>
        <w:t>La Empresa Distribuidora deberá realizar las revisiones y pruebas necesarias que permitan verificar que no existan condiciones de riesgo o trasgresiones a la normativa en la construcción y puesta en servicios de los Empalmes</w:t>
      </w:r>
    </w:p>
    <w:p w14:paraId="353B90A9" w14:textId="77777777" w:rsidR="0092794B" w:rsidRPr="0092794B" w:rsidRDefault="0092794B" w:rsidP="0092794B">
      <w:pPr>
        <w:pStyle w:val="Default"/>
        <w:spacing w:after="142"/>
        <w:jc w:val="both"/>
        <w:rPr>
          <w:b/>
          <w:bCs/>
          <w:sz w:val="23"/>
          <w:szCs w:val="23"/>
          <w:u w:val="single"/>
        </w:rPr>
      </w:pPr>
    </w:p>
    <w:p w14:paraId="3AF6A146" w14:textId="77777777" w:rsidR="0092794B" w:rsidRPr="003A578D" w:rsidRDefault="0092794B" w:rsidP="0092794B">
      <w:pPr>
        <w:pStyle w:val="Default"/>
        <w:spacing w:after="142"/>
        <w:jc w:val="both"/>
        <w:rPr>
          <w:b/>
          <w:bCs/>
          <w:sz w:val="23"/>
          <w:szCs w:val="23"/>
        </w:rPr>
      </w:pPr>
      <w:r w:rsidRPr="003A578D">
        <w:rPr>
          <w:b/>
          <w:bCs/>
          <w:sz w:val="23"/>
          <w:szCs w:val="23"/>
        </w:rPr>
        <w:t xml:space="preserve"> 3.1 Antecedentes para notificación de conexión de suministros múltiples</w:t>
      </w:r>
    </w:p>
    <w:p w14:paraId="10D1D972" w14:textId="77777777" w:rsidR="0092794B" w:rsidRDefault="0092794B" w:rsidP="0092794B">
      <w:pPr>
        <w:pStyle w:val="Default"/>
        <w:ind w:left="426"/>
        <w:jc w:val="both"/>
        <w:rPr>
          <w:sz w:val="23"/>
          <w:szCs w:val="23"/>
        </w:rPr>
      </w:pPr>
      <w:r>
        <w:rPr>
          <w:sz w:val="23"/>
          <w:szCs w:val="23"/>
        </w:rPr>
        <w:t>La Empresa Distribuidora deberá conectar los suministros del Requirente que hubiese presentado los siguientes antecedentes:</w:t>
      </w:r>
    </w:p>
    <w:p w14:paraId="65628D41" w14:textId="77777777" w:rsidR="0092794B" w:rsidRPr="003A578D" w:rsidRDefault="0092794B" w:rsidP="0092794B">
      <w:pPr>
        <w:pStyle w:val="Default"/>
        <w:spacing w:after="142"/>
        <w:jc w:val="both"/>
        <w:rPr>
          <w:sz w:val="16"/>
          <w:szCs w:val="16"/>
        </w:rPr>
      </w:pPr>
    </w:p>
    <w:p w14:paraId="68CB1BC6" w14:textId="02BA2A55" w:rsidR="0092794B" w:rsidRDefault="0092794B" w:rsidP="003A578D">
      <w:pPr>
        <w:pStyle w:val="Default"/>
        <w:spacing w:after="142"/>
        <w:ind w:left="851" w:hanging="567"/>
        <w:jc w:val="both"/>
        <w:rPr>
          <w:sz w:val="23"/>
          <w:szCs w:val="23"/>
        </w:rPr>
      </w:pPr>
      <w:r>
        <w:rPr>
          <w:sz w:val="23"/>
          <w:szCs w:val="23"/>
        </w:rPr>
        <w:t xml:space="preserve"> 3.1.1 Identificador único y correlativo correspondiente al número de expediente referido en el Artículo 5-8 de esta NT. </w:t>
      </w:r>
    </w:p>
    <w:p w14:paraId="52F56B3F" w14:textId="77777777" w:rsidR="0092794B" w:rsidRDefault="0092794B" w:rsidP="003A578D">
      <w:pPr>
        <w:pStyle w:val="Default"/>
        <w:spacing w:after="142"/>
        <w:ind w:left="851" w:hanging="567"/>
        <w:jc w:val="both"/>
        <w:rPr>
          <w:sz w:val="23"/>
          <w:szCs w:val="23"/>
        </w:rPr>
      </w:pPr>
      <w:r>
        <w:rPr>
          <w:sz w:val="23"/>
          <w:szCs w:val="23"/>
        </w:rPr>
        <w:t xml:space="preserve">3.1.2 Registro fotográfico para acreditar el término de los trabajos previos que sean necesarios para la conexión de la instalación y que no hayan sido contratados a la Empresa Distribuidora. </w:t>
      </w:r>
    </w:p>
    <w:p w14:paraId="2C203471" w14:textId="77777777" w:rsidR="0092794B" w:rsidRDefault="0092794B" w:rsidP="003A578D">
      <w:pPr>
        <w:pStyle w:val="Default"/>
        <w:spacing w:after="142"/>
        <w:ind w:left="851" w:hanging="567"/>
        <w:jc w:val="both"/>
        <w:rPr>
          <w:sz w:val="23"/>
          <w:szCs w:val="23"/>
        </w:rPr>
      </w:pPr>
      <w:r>
        <w:rPr>
          <w:sz w:val="23"/>
          <w:szCs w:val="23"/>
        </w:rPr>
        <w:t xml:space="preserve">3.1.3 La declaración de puesta en servicio realizada ante la Superintendencia, la cual debe ser consistente con la propiedad y los tipos de instalaciones a suministrar y verificado por la Empresa Distribuidora. </w:t>
      </w:r>
    </w:p>
    <w:p w14:paraId="6A88A3BF" w14:textId="77777777" w:rsidR="0092794B" w:rsidRDefault="0092794B" w:rsidP="003A578D">
      <w:pPr>
        <w:pStyle w:val="Default"/>
        <w:spacing w:after="142"/>
        <w:ind w:left="851" w:hanging="567"/>
        <w:jc w:val="both"/>
        <w:rPr>
          <w:sz w:val="23"/>
          <w:szCs w:val="23"/>
        </w:rPr>
      </w:pPr>
      <w:r>
        <w:rPr>
          <w:sz w:val="23"/>
          <w:szCs w:val="23"/>
        </w:rPr>
        <w:t xml:space="preserve">3.1.4 El contrato de suministro eléctrico firmado por el propietario o su representante legal. </w:t>
      </w:r>
    </w:p>
    <w:p w14:paraId="16FEC848" w14:textId="77777777" w:rsidR="0092794B" w:rsidRDefault="0092794B" w:rsidP="003A578D">
      <w:pPr>
        <w:pStyle w:val="Default"/>
        <w:spacing w:after="142"/>
        <w:ind w:left="851" w:hanging="567"/>
        <w:jc w:val="both"/>
        <w:rPr>
          <w:sz w:val="23"/>
          <w:szCs w:val="23"/>
        </w:rPr>
      </w:pPr>
      <w:r>
        <w:rPr>
          <w:sz w:val="23"/>
          <w:szCs w:val="23"/>
        </w:rPr>
        <w:t xml:space="preserve">3.1.5 Acreditación del pago de las obras asociadas a la conexión que no formen parte de la Red de Distribución, las que serán de cargo del Requirente, cuando corresponda. </w:t>
      </w:r>
    </w:p>
    <w:p w14:paraId="4756293A" w14:textId="77777777" w:rsidR="0092794B" w:rsidRDefault="0092794B" w:rsidP="003A578D">
      <w:pPr>
        <w:pStyle w:val="Default"/>
        <w:ind w:left="851" w:hanging="567"/>
        <w:jc w:val="both"/>
        <w:rPr>
          <w:sz w:val="23"/>
          <w:szCs w:val="23"/>
        </w:rPr>
      </w:pPr>
      <w:r>
        <w:rPr>
          <w:sz w:val="23"/>
          <w:szCs w:val="23"/>
        </w:rPr>
        <w:t xml:space="preserve">3.1.6 Acreditación de la propiedad del inmueble mediante certificado de dominio vigente o autorización municipal o autorización de otros administradores de bienes nacionales de uso público, en el caso de en Empalmes ubicados en dicho tipo de bienes. </w:t>
      </w:r>
    </w:p>
    <w:p w14:paraId="32462094" w14:textId="77777777" w:rsidR="003A578D" w:rsidRDefault="003A578D" w:rsidP="003A578D">
      <w:pPr>
        <w:pStyle w:val="Default"/>
        <w:spacing w:after="142"/>
        <w:ind w:left="851" w:hanging="567"/>
        <w:jc w:val="both"/>
        <w:rPr>
          <w:sz w:val="23"/>
          <w:szCs w:val="23"/>
        </w:rPr>
      </w:pPr>
      <w:r>
        <w:rPr>
          <w:sz w:val="23"/>
          <w:szCs w:val="23"/>
        </w:rPr>
        <w:t xml:space="preserve">3.1.7 Acreditación de pagos de aportes financieros reembolsables o garantías, cuando corresponda. </w:t>
      </w:r>
    </w:p>
    <w:p w14:paraId="475CA941" w14:textId="77777777" w:rsidR="003A578D" w:rsidRDefault="003A578D" w:rsidP="003A578D">
      <w:pPr>
        <w:pStyle w:val="Default"/>
        <w:spacing w:after="142"/>
        <w:ind w:left="851" w:hanging="567"/>
        <w:jc w:val="both"/>
        <w:rPr>
          <w:sz w:val="23"/>
          <w:szCs w:val="23"/>
        </w:rPr>
      </w:pPr>
      <w:r>
        <w:rPr>
          <w:sz w:val="23"/>
          <w:szCs w:val="23"/>
        </w:rPr>
        <w:t xml:space="preserve">3.1.8 La recepción final de las obras de Empalmes de la Empresa Distribuidora correspondiente, cuando estas hayan sido ejecutadas por terceros. </w:t>
      </w:r>
    </w:p>
    <w:p w14:paraId="48D5F423" w14:textId="77777777" w:rsidR="003A578D" w:rsidRDefault="003A578D" w:rsidP="003A578D">
      <w:pPr>
        <w:pStyle w:val="Default"/>
        <w:ind w:left="851" w:hanging="567"/>
        <w:jc w:val="both"/>
        <w:rPr>
          <w:sz w:val="23"/>
          <w:szCs w:val="23"/>
        </w:rPr>
      </w:pPr>
      <w:r>
        <w:rPr>
          <w:sz w:val="23"/>
          <w:szCs w:val="23"/>
        </w:rPr>
        <w:t xml:space="preserve">3.1.9 Cuando corresponda, la Empresa Distribuidora podrá solicitar al Requirente lo siguiente: (i) Documentos legales de personas jurídicas (Certificado de vigencia de la sociedad, Fotocopia Rut de la empresa, Fotocopia Rut del representante legal de la empresa, Certificado de vigencia de la personería jurídica del representante legal, Extracto de constitución de la sociedad); y (ii) Certificados de calibración o protocolos de equipos y sus facturas (medidor, transformador, transformadores de corriente, equipo compacto de medida, celda de protección, reconectador, entre otras). </w:t>
      </w:r>
    </w:p>
    <w:p w14:paraId="5303AE2B" w14:textId="77777777" w:rsidR="003A578D" w:rsidRDefault="003A578D" w:rsidP="003A578D">
      <w:pPr>
        <w:pStyle w:val="Default"/>
        <w:ind w:left="851" w:hanging="567"/>
        <w:rPr>
          <w:sz w:val="23"/>
          <w:szCs w:val="23"/>
        </w:rPr>
      </w:pPr>
    </w:p>
    <w:p w14:paraId="4F3D7E16" w14:textId="77777777" w:rsidR="003A578D" w:rsidRDefault="003A578D" w:rsidP="003A578D">
      <w:pPr>
        <w:pStyle w:val="Default"/>
        <w:rPr>
          <w:sz w:val="23"/>
          <w:szCs w:val="23"/>
        </w:rPr>
      </w:pPr>
    </w:p>
    <w:p w14:paraId="051B035D" w14:textId="77777777" w:rsidR="003A578D" w:rsidRDefault="003A578D" w:rsidP="003A578D">
      <w:pPr>
        <w:pStyle w:val="Default"/>
        <w:jc w:val="both"/>
        <w:rPr>
          <w:sz w:val="23"/>
          <w:szCs w:val="23"/>
        </w:rPr>
      </w:pPr>
      <w:r>
        <w:rPr>
          <w:sz w:val="23"/>
          <w:szCs w:val="23"/>
        </w:rPr>
        <w:t xml:space="preserve">Dentro de los primeros 15 días hábiles del ingreso de la notificación, la Empresa Distribuidora deberá revisar los antecedentes y notificar al Requirente en caso del rechazo de la notificación cuando; (i) el Requirente no hubiese presentado todos los antecedentes establecidos en este Artículo; y/o (ii) la Empresa Distribuidora, justificadamente, determine que los datos aportados por el Requirente están incompletos o contienen errores que hace inviable la conexión. En cualquiera de estos casos, la Empresa Distribuidora deberá informar al Requirente cada uno de los datos o antecedentes que debe corregir o completar al momento de ingresar una nueva solicitud y no podrá rechazar la nueva notificación por razones que no hayan sido señaladas expresamente al Requirente. </w:t>
      </w:r>
    </w:p>
    <w:p w14:paraId="7D57A9D2" w14:textId="77777777" w:rsidR="003A578D" w:rsidRDefault="003A578D" w:rsidP="003A578D">
      <w:pPr>
        <w:pStyle w:val="Default"/>
        <w:jc w:val="both"/>
        <w:rPr>
          <w:sz w:val="23"/>
          <w:szCs w:val="23"/>
        </w:rPr>
      </w:pPr>
    </w:p>
    <w:p w14:paraId="38933129" w14:textId="77777777" w:rsidR="003A578D" w:rsidRDefault="003A578D" w:rsidP="003A578D">
      <w:pPr>
        <w:pStyle w:val="Default"/>
        <w:rPr>
          <w:sz w:val="23"/>
          <w:szCs w:val="23"/>
        </w:rPr>
      </w:pPr>
      <w:r>
        <w:rPr>
          <w:sz w:val="23"/>
          <w:szCs w:val="23"/>
        </w:rPr>
        <w:t>Transcurrido el plazo señalado en el inciso anterior sin que la Empresa Distribuidora hubiese realizado observaciones a la notificación, se procederá con el protocolo de conexión dentro de los plazos señalados</w:t>
      </w:r>
      <w:r>
        <w:rPr>
          <w:sz w:val="23"/>
          <w:szCs w:val="23"/>
        </w:rPr>
        <w:t xml:space="preserve"> </w:t>
      </w:r>
      <w:r>
        <w:t xml:space="preserve">en la </w:t>
      </w:r>
      <w:r>
        <w:rPr>
          <w:sz w:val="23"/>
          <w:szCs w:val="23"/>
        </w:rPr>
        <w:t xml:space="preserve">Tabla 20. Estos plazos se contabilizarán a partir de la recepción de la notificación, según lo señalado en la sección siguiente. </w:t>
      </w:r>
    </w:p>
    <w:p w14:paraId="13E16FCE" w14:textId="77777777" w:rsidR="003A578D" w:rsidRDefault="003A578D" w:rsidP="003A578D">
      <w:pPr>
        <w:pStyle w:val="Default"/>
        <w:rPr>
          <w:sz w:val="23"/>
          <w:szCs w:val="23"/>
        </w:rPr>
      </w:pPr>
    </w:p>
    <w:p w14:paraId="4FD94539" w14:textId="77777777" w:rsidR="003A578D" w:rsidRDefault="003A578D" w:rsidP="003A578D">
      <w:pPr>
        <w:pStyle w:val="Default"/>
        <w:rPr>
          <w:sz w:val="23"/>
          <w:szCs w:val="23"/>
        </w:rPr>
      </w:pPr>
      <w:r>
        <w:rPr>
          <w:sz w:val="23"/>
          <w:szCs w:val="23"/>
        </w:rPr>
        <w:t>La Empresa Distribuidora no podrá exigir antecedentes, certificados, permisos o cualquier otro documento adicional a los mencionados en el numeral 3.1 precedente, con excepción de aquellos que fueron informados en el punto 1.2.19 que sean estrictamente necesarios para la conexión o ampliación de servicios.</w:t>
      </w:r>
    </w:p>
    <w:p w14:paraId="33166FBB" w14:textId="77777777" w:rsidR="003A578D" w:rsidRDefault="003A578D" w:rsidP="003A578D">
      <w:pPr>
        <w:pStyle w:val="Default"/>
        <w:rPr>
          <w:sz w:val="23"/>
          <w:szCs w:val="23"/>
        </w:rPr>
      </w:pPr>
    </w:p>
    <w:p w14:paraId="01D1D029" w14:textId="7EC92BA7" w:rsidR="003A578D" w:rsidRDefault="003A578D" w:rsidP="003A578D">
      <w:pPr>
        <w:pStyle w:val="Default"/>
        <w:rPr>
          <w:sz w:val="23"/>
          <w:szCs w:val="23"/>
        </w:rPr>
      </w:pPr>
      <w:r>
        <w:rPr>
          <w:sz w:val="23"/>
          <w:szCs w:val="23"/>
        </w:rPr>
        <w:t xml:space="preserve"> </w:t>
      </w:r>
    </w:p>
    <w:p w14:paraId="692B5556" w14:textId="3FE24CCC" w:rsidR="003A578D" w:rsidRPr="003A578D" w:rsidRDefault="003A578D" w:rsidP="003A578D">
      <w:pPr>
        <w:pStyle w:val="Default"/>
        <w:ind w:left="360" w:hanging="360"/>
        <w:rPr>
          <w:b/>
          <w:bCs/>
          <w:sz w:val="23"/>
          <w:szCs w:val="23"/>
          <w:u w:val="single"/>
        </w:rPr>
      </w:pPr>
      <w:r w:rsidRPr="003A578D">
        <w:rPr>
          <w:b/>
          <w:bCs/>
          <w:sz w:val="23"/>
          <w:szCs w:val="23"/>
          <w:u w:val="single"/>
        </w:rPr>
        <w:t>4</w:t>
      </w:r>
      <w:r w:rsidRPr="003A578D">
        <w:rPr>
          <w:b/>
          <w:bCs/>
          <w:sz w:val="23"/>
          <w:szCs w:val="23"/>
          <w:u w:val="single"/>
        </w:rPr>
        <w:t xml:space="preserve">- Plazos para Conexión de Suministros Múltiples </w:t>
      </w:r>
    </w:p>
    <w:p w14:paraId="3E75B709" w14:textId="77777777" w:rsidR="003A578D" w:rsidRDefault="003A578D" w:rsidP="003A578D">
      <w:pPr>
        <w:pStyle w:val="Default"/>
        <w:rPr>
          <w:sz w:val="23"/>
          <w:szCs w:val="23"/>
        </w:rPr>
      </w:pPr>
    </w:p>
    <w:p w14:paraId="4F788351" w14:textId="44FBA93D" w:rsidR="0092794B" w:rsidRDefault="003A578D" w:rsidP="003A578D">
      <w:pPr>
        <w:pStyle w:val="Default"/>
        <w:jc w:val="both"/>
        <w:rPr>
          <w:sz w:val="23"/>
          <w:szCs w:val="23"/>
        </w:rPr>
      </w:pPr>
      <w:r>
        <w:rPr>
          <w:sz w:val="23"/>
          <w:szCs w:val="23"/>
        </w:rPr>
        <w:t>Los plazos para conectar los suministros múltiples se contabilizarán a partir de la remisión del Requirente a la Empresa Distribuidora de los antecedentes establecidos en el numeral 3 de este Artículo y una vez que haya sido declarada admisible la notificación de conexión. Los plazos de conexión no podrán superar los límites establecidos en la siguiente tabla, salvo las excepciones establecidas en el Artículo 5-2, Artículo 5-6 y Artículo 5-7 que fuesen aplicables.</w:t>
      </w:r>
    </w:p>
    <w:p w14:paraId="5D528DD2" w14:textId="77777777" w:rsidR="0092794B" w:rsidRDefault="0092794B" w:rsidP="003A578D">
      <w:pPr>
        <w:pStyle w:val="Default"/>
        <w:jc w:val="both"/>
        <w:rPr>
          <w:sz w:val="23"/>
          <w:szCs w:val="23"/>
        </w:rPr>
      </w:pPr>
    </w:p>
    <w:p w14:paraId="4317917F" w14:textId="40AA808E" w:rsidR="0092794B" w:rsidRDefault="003A578D" w:rsidP="0092794B">
      <w:pPr>
        <w:pStyle w:val="Default"/>
        <w:jc w:val="both"/>
        <w:rPr>
          <w:sz w:val="23"/>
          <w:szCs w:val="23"/>
        </w:rPr>
      </w:pPr>
      <w:r w:rsidRPr="003A578D">
        <w:rPr>
          <w:sz w:val="23"/>
          <w:szCs w:val="23"/>
        </w:rPr>
        <w:drawing>
          <wp:inline distT="0" distB="0" distL="0" distR="0" wp14:anchorId="68129C67" wp14:editId="768495F6">
            <wp:extent cx="5940425" cy="2416810"/>
            <wp:effectExtent l="0" t="0" r="3175" b="2540"/>
            <wp:docPr id="9971927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92729" name=""/>
                    <pic:cNvPicPr/>
                  </pic:nvPicPr>
                  <pic:blipFill>
                    <a:blip r:embed="rId6"/>
                    <a:stretch>
                      <a:fillRect/>
                    </a:stretch>
                  </pic:blipFill>
                  <pic:spPr>
                    <a:xfrm>
                      <a:off x="0" y="0"/>
                      <a:ext cx="5940425" cy="2416810"/>
                    </a:xfrm>
                    <a:prstGeom prst="rect">
                      <a:avLst/>
                    </a:prstGeom>
                  </pic:spPr>
                </pic:pic>
              </a:graphicData>
            </a:graphic>
          </wp:inline>
        </w:drawing>
      </w:r>
    </w:p>
    <w:p w14:paraId="7A3597AA" w14:textId="6F772610" w:rsidR="0092794B" w:rsidRDefault="0092794B" w:rsidP="0092794B">
      <w:pPr>
        <w:pStyle w:val="Default"/>
        <w:jc w:val="both"/>
        <w:rPr>
          <w:sz w:val="23"/>
          <w:szCs w:val="23"/>
        </w:rPr>
      </w:pPr>
      <w:r>
        <w:rPr>
          <w:sz w:val="23"/>
          <w:szCs w:val="23"/>
        </w:rPr>
        <w:t xml:space="preserve">. </w:t>
      </w:r>
    </w:p>
    <w:p w14:paraId="478A64E0" w14:textId="77777777" w:rsidR="003A578D" w:rsidRDefault="003A578D" w:rsidP="003A578D">
      <w:pPr>
        <w:pStyle w:val="Default"/>
        <w:jc w:val="both"/>
        <w:rPr>
          <w:sz w:val="23"/>
          <w:szCs w:val="23"/>
        </w:rPr>
      </w:pPr>
      <w:r>
        <w:rPr>
          <w:sz w:val="23"/>
          <w:szCs w:val="23"/>
        </w:rPr>
        <w:t xml:space="preserve">En caso de que existan limitantes, debidamente justificadas, que impiden dar cumplimiento a los plazos de conexión establecidos en el presente Artículo y, en específico, cuando dichas limitantes se traten de permisos otorgados por la Dirección de Vialidad, el Servicio de Vivienda y Urbanismo, concesionarias viales, municipalidades, Ferrocarriles del Estado u otro organismo del Estado, o autorización por terceros que se encuentren pendientes, cuyos plazos de tramitación no dependan de la Empresa Distribuidora y que hayan sido tramitados de forma diligente, la Empresa Distribuidora deberá informar a la Superintendencia las razones que justifican dicho impedimento, dentro de los plazos establecidos en la Tabla 20, según corresponda, y dejar registro de ello en el expediente. Sin perjuicio de lo anterior, en ningún caso los plazos que dependan de la Empresa Distribuidora podrán se superiores a los tiempos definidos en dicha tabla. Los formatos y medios de envío de dicha información serán establecidos por la Superintendencia. </w:t>
      </w:r>
    </w:p>
    <w:p w14:paraId="3C305310" w14:textId="77777777" w:rsidR="003A578D" w:rsidRDefault="003A578D" w:rsidP="003A578D">
      <w:pPr>
        <w:pStyle w:val="Default"/>
        <w:jc w:val="both"/>
        <w:rPr>
          <w:sz w:val="23"/>
          <w:szCs w:val="23"/>
        </w:rPr>
      </w:pPr>
    </w:p>
    <w:p w14:paraId="234CAE0F" w14:textId="77777777" w:rsidR="003A578D" w:rsidRDefault="003A578D" w:rsidP="003A578D">
      <w:pPr>
        <w:pStyle w:val="Default"/>
        <w:jc w:val="both"/>
        <w:rPr>
          <w:sz w:val="23"/>
          <w:szCs w:val="23"/>
        </w:rPr>
      </w:pPr>
      <w:r>
        <w:rPr>
          <w:sz w:val="23"/>
          <w:szCs w:val="23"/>
        </w:rPr>
        <w:t xml:space="preserve">Excepcionalmente para un par comuna-empresa clasificada como de densidad muy baja o extremadamente baja, en que se requiera realizar una nueva extensión de red para otorgar suministro, los plazos indicados en la Tabla 20 se podrán aumentar hasta por 30 días en extensiones menores a 3 km y hasta 60 días a partir de los 3 km. Los días adicionales se añadirán al plazo establecido en la Tabla 20 según el nivel de potencia. </w:t>
      </w:r>
    </w:p>
    <w:p w14:paraId="0CEC013E" w14:textId="77777777" w:rsidR="003A578D" w:rsidRDefault="003A578D" w:rsidP="003A578D">
      <w:pPr>
        <w:pStyle w:val="Default"/>
        <w:jc w:val="both"/>
        <w:rPr>
          <w:sz w:val="23"/>
          <w:szCs w:val="23"/>
        </w:rPr>
      </w:pPr>
    </w:p>
    <w:p w14:paraId="58B08AAF" w14:textId="07C5514A" w:rsidR="003A578D" w:rsidRDefault="003A578D" w:rsidP="003A578D">
      <w:pPr>
        <w:pStyle w:val="Default"/>
        <w:jc w:val="both"/>
        <w:rPr>
          <w:sz w:val="23"/>
          <w:szCs w:val="23"/>
        </w:rPr>
      </w:pPr>
      <w:r>
        <w:rPr>
          <w:sz w:val="23"/>
          <w:szCs w:val="23"/>
        </w:rPr>
        <w:t>En caso debidamente justificados, las partes, de mutuo acuerdo, podrán convenir un plazo distinto. Para estos efectos, el Requirente debe manifestar su conformidad por escrito quedando registro de ello en el expediente. Si las partes no llegan a un acuerdo, el Requirente y/o la Empresa Distribuidora podrá recurrir a la Superintendencia</w:t>
      </w:r>
      <w:r>
        <w:rPr>
          <w:sz w:val="23"/>
          <w:szCs w:val="23"/>
        </w:rPr>
        <w:t>.</w:t>
      </w:r>
    </w:p>
    <w:p w14:paraId="61E7FEA0" w14:textId="77777777" w:rsidR="00B60A2D" w:rsidRDefault="00B60A2D" w:rsidP="003A578D">
      <w:pPr>
        <w:pStyle w:val="Default"/>
        <w:jc w:val="both"/>
        <w:rPr>
          <w:sz w:val="23"/>
          <w:szCs w:val="23"/>
        </w:rPr>
      </w:pPr>
    </w:p>
    <w:p w14:paraId="4FBE3044" w14:textId="455ED396" w:rsidR="003A578D" w:rsidRDefault="003A578D" w:rsidP="003A578D">
      <w:pPr>
        <w:pStyle w:val="Default"/>
        <w:jc w:val="both"/>
        <w:rPr>
          <w:sz w:val="23"/>
          <w:szCs w:val="23"/>
        </w:rPr>
      </w:pPr>
      <w:r>
        <w:rPr>
          <w:sz w:val="23"/>
          <w:szCs w:val="23"/>
        </w:rPr>
        <w:t xml:space="preserve"> </w:t>
      </w:r>
    </w:p>
    <w:p w14:paraId="4E4E9118" w14:textId="32829E6E" w:rsidR="003A578D" w:rsidRPr="003A578D" w:rsidRDefault="003A578D" w:rsidP="003A578D">
      <w:pPr>
        <w:pStyle w:val="Default"/>
        <w:jc w:val="both"/>
        <w:rPr>
          <w:b/>
          <w:bCs/>
          <w:sz w:val="23"/>
          <w:szCs w:val="23"/>
          <w:u w:val="single"/>
        </w:rPr>
      </w:pPr>
      <w:r w:rsidRPr="003A578D">
        <w:rPr>
          <w:b/>
          <w:bCs/>
          <w:sz w:val="23"/>
          <w:szCs w:val="23"/>
          <w:u w:val="single"/>
        </w:rPr>
        <w:t>5.</w:t>
      </w:r>
      <w:r w:rsidRPr="003A578D">
        <w:rPr>
          <w:b/>
          <w:bCs/>
          <w:sz w:val="23"/>
          <w:szCs w:val="23"/>
          <w:u w:val="single"/>
        </w:rPr>
        <w:t xml:space="preserve">- Protocolo de Conexión para Suministros Múltiples </w:t>
      </w:r>
    </w:p>
    <w:p w14:paraId="3721313E" w14:textId="77777777" w:rsidR="003A578D" w:rsidRDefault="003A578D" w:rsidP="003A578D">
      <w:pPr>
        <w:pStyle w:val="Default"/>
        <w:rPr>
          <w:sz w:val="23"/>
          <w:szCs w:val="23"/>
        </w:rPr>
      </w:pPr>
    </w:p>
    <w:p w14:paraId="0F6AE41A" w14:textId="77777777" w:rsidR="003A578D" w:rsidRDefault="003A578D" w:rsidP="003A578D">
      <w:pPr>
        <w:pStyle w:val="Default"/>
        <w:rPr>
          <w:sz w:val="23"/>
          <w:szCs w:val="23"/>
        </w:rPr>
      </w:pPr>
      <w:r>
        <w:rPr>
          <w:sz w:val="23"/>
          <w:szCs w:val="23"/>
        </w:rPr>
        <w:t xml:space="preserve">Durante la conexión o ampliación de servicios múltiples, la Empresa Distribuidora, deberá realizar las revisiones y pruebas necesarias que permitan verificar que no existan condiciones de riesgo o trasgresiones a la normativa. </w:t>
      </w:r>
    </w:p>
    <w:p w14:paraId="12BD855A" w14:textId="77777777" w:rsidR="003A578D" w:rsidRDefault="003A578D" w:rsidP="003A578D">
      <w:pPr>
        <w:pStyle w:val="Default"/>
        <w:rPr>
          <w:sz w:val="23"/>
          <w:szCs w:val="23"/>
        </w:rPr>
      </w:pPr>
      <w:r>
        <w:rPr>
          <w:sz w:val="23"/>
          <w:szCs w:val="23"/>
        </w:rPr>
        <w:t xml:space="preserve">El resultado de las referidas revisiones y pruebas deberá registrarse en el formulario de protocolo de conexión o ampliación, el cual deberá considerar, al menos, los siguientes aspectos: </w:t>
      </w:r>
    </w:p>
    <w:p w14:paraId="0BB18140" w14:textId="54068AB1" w:rsidR="003A578D" w:rsidRDefault="003A578D" w:rsidP="00761DA0">
      <w:pPr>
        <w:pStyle w:val="Default"/>
        <w:ind w:left="993" w:hanging="426"/>
        <w:rPr>
          <w:sz w:val="23"/>
          <w:szCs w:val="23"/>
        </w:rPr>
      </w:pPr>
      <w:r>
        <w:rPr>
          <w:sz w:val="23"/>
          <w:szCs w:val="23"/>
        </w:rPr>
        <w:t xml:space="preserve">a. </w:t>
      </w:r>
      <w:r>
        <w:rPr>
          <w:sz w:val="23"/>
          <w:szCs w:val="23"/>
        </w:rPr>
        <w:t xml:space="preserve">Identificación de la notificación de conexión o ampliación de servicios asociada. </w:t>
      </w:r>
    </w:p>
    <w:p w14:paraId="32F1A69B" w14:textId="7234FE3E" w:rsidR="003A578D" w:rsidRDefault="003A578D" w:rsidP="00761DA0">
      <w:pPr>
        <w:pStyle w:val="Default"/>
        <w:numPr>
          <w:ilvl w:val="0"/>
          <w:numId w:val="46"/>
        </w:numPr>
        <w:spacing w:after="23"/>
        <w:ind w:left="567"/>
        <w:jc w:val="both"/>
      </w:pPr>
      <w:r>
        <w:t xml:space="preserve">b, </w:t>
      </w:r>
      <w:r>
        <w:t xml:space="preserve">Datos del Requirente y propietario del inmueble objeto de la solicitud. </w:t>
      </w:r>
    </w:p>
    <w:p w14:paraId="7B916059" w14:textId="6B9D4294" w:rsidR="003A578D" w:rsidRDefault="003A578D" w:rsidP="00761DA0">
      <w:pPr>
        <w:pStyle w:val="Default"/>
        <w:numPr>
          <w:ilvl w:val="0"/>
          <w:numId w:val="46"/>
        </w:numPr>
        <w:spacing w:after="23"/>
        <w:ind w:left="567"/>
        <w:jc w:val="both"/>
      </w:pPr>
      <w:r>
        <w:t xml:space="preserve">c. </w:t>
      </w:r>
      <w:r>
        <w:t xml:space="preserve">Dirección del proyecto. </w:t>
      </w:r>
    </w:p>
    <w:p w14:paraId="132A2095" w14:textId="1F5241FB" w:rsidR="003A578D" w:rsidRDefault="003A578D" w:rsidP="00761DA0">
      <w:pPr>
        <w:pStyle w:val="Default"/>
        <w:spacing w:after="23"/>
        <w:ind w:left="851" w:hanging="284"/>
        <w:jc w:val="both"/>
        <w:rPr>
          <w:sz w:val="23"/>
          <w:szCs w:val="23"/>
        </w:rPr>
      </w:pPr>
      <w:r>
        <w:rPr>
          <w:sz w:val="23"/>
          <w:szCs w:val="23"/>
        </w:rPr>
        <w:t xml:space="preserve">d. </w:t>
      </w:r>
      <w:r>
        <w:rPr>
          <w:sz w:val="23"/>
          <w:szCs w:val="23"/>
        </w:rPr>
        <w:t xml:space="preserve">Nombre y número de cédula de identidad del técnico representante de la Empresa Distribuidora. </w:t>
      </w:r>
    </w:p>
    <w:p w14:paraId="31D09F72" w14:textId="77777777" w:rsidR="00487020" w:rsidRDefault="003A578D" w:rsidP="00761DA0">
      <w:pPr>
        <w:pStyle w:val="Default"/>
        <w:numPr>
          <w:ilvl w:val="1"/>
          <w:numId w:val="46"/>
        </w:numPr>
        <w:spacing w:after="22"/>
        <w:ind w:left="567"/>
        <w:jc w:val="both"/>
        <w:rPr>
          <w:sz w:val="23"/>
          <w:szCs w:val="23"/>
        </w:rPr>
      </w:pPr>
      <w:r>
        <w:rPr>
          <w:sz w:val="23"/>
          <w:szCs w:val="23"/>
        </w:rPr>
        <w:t xml:space="preserve">e. </w:t>
      </w:r>
      <w:r>
        <w:rPr>
          <w:sz w:val="23"/>
          <w:szCs w:val="23"/>
        </w:rPr>
        <w:t xml:space="preserve">Verificación de los requerimientos generales de la normativa vigente: </w:t>
      </w:r>
    </w:p>
    <w:p w14:paraId="5230BD7C" w14:textId="4F2D4A25" w:rsidR="003A578D" w:rsidRDefault="003A578D" w:rsidP="00761DA0">
      <w:pPr>
        <w:pStyle w:val="Default"/>
        <w:numPr>
          <w:ilvl w:val="0"/>
          <w:numId w:val="48"/>
        </w:numPr>
        <w:spacing w:after="22"/>
        <w:ind w:left="1134" w:firstLine="0"/>
        <w:jc w:val="both"/>
        <w:rPr>
          <w:sz w:val="23"/>
          <w:szCs w:val="23"/>
        </w:rPr>
      </w:pPr>
      <w:r>
        <w:rPr>
          <w:sz w:val="23"/>
          <w:szCs w:val="23"/>
        </w:rPr>
        <w:t xml:space="preserve">Cumplimiento de las especificaciones técnicas constructivas del Empalme. </w:t>
      </w:r>
    </w:p>
    <w:p w14:paraId="32E21138" w14:textId="7F214F62" w:rsidR="003A578D" w:rsidRDefault="00487020" w:rsidP="00761DA0">
      <w:pPr>
        <w:pStyle w:val="Default"/>
        <w:spacing w:after="22"/>
        <w:ind w:left="1418" w:hanging="284"/>
        <w:jc w:val="both"/>
        <w:rPr>
          <w:sz w:val="23"/>
          <w:szCs w:val="23"/>
        </w:rPr>
      </w:pPr>
      <w:r>
        <w:rPr>
          <w:sz w:val="23"/>
          <w:szCs w:val="23"/>
        </w:rPr>
        <w:t xml:space="preserve">ii. </w:t>
      </w:r>
      <w:r w:rsidR="003A578D">
        <w:rPr>
          <w:sz w:val="23"/>
          <w:szCs w:val="23"/>
        </w:rPr>
        <w:t xml:space="preserve">Cumplimiento de las especificaciones de la canalización y conductores de los Arranques, Verticales y Acometidas cuando corresponda. </w:t>
      </w:r>
    </w:p>
    <w:p w14:paraId="25BB5CA6" w14:textId="3BEF6427" w:rsidR="003A578D" w:rsidRDefault="00487020" w:rsidP="00761DA0">
      <w:pPr>
        <w:pStyle w:val="Default"/>
        <w:numPr>
          <w:ilvl w:val="1"/>
          <w:numId w:val="46"/>
        </w:numPr>
        <w:spacing w:after="22"/>
        <w:ind w:left="1134"/>
        <w:jc w:val="both"/>
        <w:rPr>
          <w:sz w:val="23"/>
          <w:szCs w:val="23"/>
        </w:rPr>
      </w:pPr>
      <w:r>
        <w:rPr>
          <w:sz w:val="23"/>
          <w:szCs w:val="23"/>
        </w:rPr>
        <w:t xml:space="preserve">iii. </w:t>
      </w:r>
      <w:r w:rsidR="003A578D">
        <w:rPr>
          <w:sz w:val="23"/>
          <w:szCs w:val="23"/>
        </w:rPr>
        <w:t xml:space="preserve">Verificar que la Acometida y Arranques se emplacen en áreas de uso común. </w:t>
      </w:r>
    </w:p>
    <w:p w14:paraId="1FDE14D6" w14:textId="4879272A" w:rsidR="003A578D" w:rsidRDefault="00487020" w:rsidP="00761DA0">
      <w:pPr>
        <w:pStyle w:val="Default"/>
        <w:spacing w:after="22"/>
        <w:ind w:left="1418" w:hanging="284"/>
        <w:jc w:val="both"/>
        <w:rPr>
          <w:sz w:val="23"/>
          <w:szCs w:val="23"/>
        </w:rPr>
      </w:pPr>
      <w:r>
        <w:rPr>
          <w:sz w:val="23"/>
          <w:szCs w:val="23"/>
        </w:rPr>
        <w:t xml:space="preserve">iv. </w:t>
      </w:r>
      <w:r w:rsidR="003A578D">
        <w:rPr>
          <w:sz w:val="23"/>
          <w:szCs w:val="23"/>
        </w:rPr>
        <w:t xml:space="preserve">Que las cajas de Empalmes cumplan la altura de montaje y permita la lectura del medidor, de conformidad con el Pliego RIC N° 01 del DS N°8/2019 o el que lo reemplace. </w:t>
      </w:r>
    </w:p>
    <w:p w14:paraId="25D228FD" w14:textId="6AE04FB8" w:rsidR="003A578D" w:rsidRDefault="00487020" w:rsidP="00761DA0">
      <w:pPr>
        <w:pStyle w:val="Default"/>
        <w:spacing w:after="22"/>
        <w:ind w:left="1418" w:hanging="284"/>
        <w:jc w:val="both"/>
        <w:rPr>
          <w:sz w:val="23"/>
          <w:szCs w:val="23"/>
        </w:rPr>
      </w:pPr>
      <w:r>
        <w:rPr>
          <w:sz w:val="23"/>
          <w:szCs w:val="23"/>
        </w:rPr>
        <w:t xml:space="preserve">v. </w:t>
      </w:r>
      <w:r w:rsidR="003A578D">
        <w:rPr>
          <w:sz w:val="23"/>
          <w:szCs w:val="23"/>
        </w:rPr>
        <w:t xml:space="preserve">Verificar que se encuentre disponible la superficie de 15% destinada a futuros aumentos de capacidad y/o aumentos en la cantidad de Empalmes, de conformidad con lo definido en el Pliego RIC N° 01 del DS N°8/2019 o el que lo reemplace. </w:t>
      </w:r>
    </w:p>
    <w:p w14:paraId="0A7B442F" w14:textId="516539E2" w:rsidR="003A578D" w:rsidRDefault="00761DA0" w:rsidP="00761DA0">
      <w:pPr>
        <w:pStyle w:val="Default"/>
        <w:spacing w:after="22"/>
        <w:ind w:left="1418" w:hanging="284"/>
        <w:jc w:val="both"/>
        <w:rPr>
          <w:sz w:val="23"/>
          <w:szCs w:val="23"/>
        </w:rPr>
      </w:pPr>
      <w:r>
        <w:rPr>
          <w:sz w:val="23"/>
          <w:szCs w:val="23"/>
        </w:rPr>
        <w:t xml:space="preserve">vi. </w:t>
      </w:r>
      <w:r w:rsidR="003A578D">
        <w:rPr>
          <w:sz w:val="23"/>
          <w:szCs w:val="23"/>
        </w:rPr>
        <w:t xml:space="preserve">Que la capacidad de las protecciones de los Empalmes sea consistente con la potencia contratada y estén en conformidad con lo definido en el Pliego RIC N° 01 del DS N°8/2019 o el que lo reemplace. </w:t>
      </w:r>
    </w:p>
    <w:p w14:paraId="35F3837C" w14:textId="751B233E" w:rsidR="003A578D" w:rsidRDefault="00761DA0" w:rsidP="00761DA0">
      <w:pPr>
        <w:pStyle w:val="Default"/>
        <w:numPr>
          <w:ilvl w:val="1"/>
          <w:numId w:val="46"/>
        </w:numPr>
        <w:spacing w:after="22"/>
        <w:ind w:left="1134"/>
        <w:jc w:val="both"/>
        <w:rPr>
          <w:sz w:val="23"/>
          <w:szCs w:val="23"/>
        </w:rPr>
      </w:pPr>
      <w:r>
        <w:rPr>
          <w:sz w:val="23"/>
          <w:szCs w:val="23"/>
        </w:rPr>
        <w:t xml:space="preserve">vii. </w:t>
      </w:r>
      <w:r w:rsidR="003A578D">
        <w:rPr>
          <w:sz w:val="23"/>
          <w:szCs w:val="23"/>
        </w:rPr>
        <w:t xml:space="preserve">Que las cajas metálicas cuenten con conexión a tierra de protección. </w:t>
      </w:r>
    </w:p>
    <w:p w14:paraId="5A07FFAA" w14:textId="7903292A" w:rsidR="003A578D" w:rsidRDefault="00761DA0" w:rsidP="00761DA0">
      <w:pPr>
        <w:pStyle w:val="Default"/>
        <w:spacing w:after="22"/>
        <w:ind w:left="1418"/>
        <w:jc w:val="both"/>
        <w:rPr>
          <w:sz w:val="23"/>
          <w:szCs w:val="23"/>
        </w:rPr>
      </w:pPr>
      <w:r>
        <w:rPr>
          <w:sz w:val="23"/>
          <w:szCs w:val="23"/>
        </w:rPr>
        <w:t xml:space="preserve">viii. </w:t>
      </w:r>
      <w:r w:rsidR="003A578D">
        <w:rPr>
          <w:sz w:val="23"/>
          <w:szCs w:val="23"/>
        </w:rPr>
        <w:t xml:space="preserve">Verificar el cumplimento de las condiciones definidas en el punto 5.4 del Pliego RIC N° 01 y RIC N°13 del DS N°8/2019 o el que lo reemplace. </w:t>
      </w:r>
    </w:p>
    <w:p w14:paraId="7FE811DE" w14:textId="1A85BC7B" w:rsidR="003A578D" w:rsidRDefault="00761DA0" w:rsidP="00761DA0">
      <w:pPr>
        <w:pStyle w:val="Default"/>
        <w:spacing w:after="22"/>
        <w:ind w:left="1418" w:hanging="284"/>
        <w:jc w:val="both"/>
        <w:rPr>
          <w:sz w:val="23"/>
          <w:szCs w:val="23"/>
        </w:rPr>
      </w:pPr>
      <w:r>
        <w:rPr>
          <w:sz w:val="23"/>
          <w:szCs w:val="23"/>
        </w:rPr>
        <w:t xml:space="preserve">ix. </w:t>
      </w:r>
      <w:r w:rsidR="003A578D">
        <w:rPr>
          <w:sz w:val="23"/>
          <w:szCs w:val="23"/>
        </w:rPr>
        <w:t xml:space="preserve">Registrar el voltaje monofásico y/o los voltajes monofásicos/trifásicos en la protección, según corresponda. </w:t>
      </w:r>
    </w:p>
    <w:p w14:paraId="05026E2F" w14:textId="7759EEB9" w:rsidR="003A578D" w:rsidRDefault="00761DA0" w:rsidP="00761DA0">
      <w:pPr>
        <w:pStyle w:val="Default"/>
        <w:numPr>
          <w:ilvl w:val="1"/>
          <w:numId w:val="46"/>
        </w:numPr>
        <w:spacing w:after="22"/>
        <w:ind w:left="1134"/>
        <w:jc w:val="both"/>
        <w:rPr>
          <w:sz w:val="23"/>
          <w:szCs w:val="23"/>
        </w:rPr>
      </w:pPr>
      <w:r>
        <w:rPr>
          <w:sz w:val="23"/>
          <w:szCs w:val="23"/>
        </w:rPr>
        <w:t xml:space="preserve">x. </w:t>
      </w:r>
      <w:r w:rsidR="003A578D">
        <w:rPr>
          <w:sz w:val="23"/>
          <w:szCs w:val="23"/>
        </w:rPr>
        <w:t xml:space="preserve">Registrar marca y modelo del medidor y lectura de inicio. </w:t>
      </w:r>
    </w:p>
    <w:p w14:paraId="4949B05B" w14:textId="46F9729B" w:rsidR="003A578D" w:rsidRDefault="00761DA0" w:rsidP="00761DA0">
      <w:pPr>
        <w:pStyle w:val="Default"/>
        <w:numPr>
          <w:ilvl w:val="1"/>
          <w:numId w:val="46"/>
        </w:numPr>
        <w:spacing w:after="22"/>
        <w:ind w:left="1134"/>
        <w:jc w:val="both"/>
        <w:rPr>
          <w:sz w:val="23"/>
          <w:szCs w:val="23"/>
        </w:rPr>
      </w:pPr>
      <w:r>
        <w:rPr>
          <w:sz w:val="23"/>
          <w:szCs w:val="23"/>
        </w:rPr>
        <w:t xml:space="preserve">xi </w:t>
      </w:r>
      <w:r w:rsidR="003A578D">
        <w:rPr>
          <w:sz w:val="23"/>
          <w:szCs w:val="23"/>
        </w:rPr>
        <w:t xml:space="preserve">Verificar certificados del medidor. </w:t>
      </w:r>
    </w:p>
    <w:p w14:paraId="2AFF5E23" w14:textId="1C23D2CB" w:rsidR="003A578D" w:rsidRDefault="00761DA0" w:rsidP="00761DA0">
      <w:pPr>
        <w:pStyle w:val="Default"/>
        <w:numPr>
          <w:ilvl w:val="1"/>
          <w:numId w:val="46"/>
        </w:numPr>
        <w:spacing w:after="22"/>
        <w:ind w:left="1134"/>
        <w:jc w:val="both"/>
        <w:rPr>
          <w:sz w:val="23"/>
          <w:szCs w:val="23"/>
        </w:rPr>
      </w:pPr>
      <w:r>
        <w:rPr>
          <w:sz w:val="23"/>
          <w:szCs w:val="23"/>
        </w:rPr>
        <w:t xml:space="preserve">xii. </w:t>
      </w:r>
      <w:r w:rsidR="003A578D">
        <w:rPr>
          <w:sz w:val="23"/>
          <w:szCs w:val="23"/>
        </w:rPr>
        <w:t xml:space="preserve">Registro de números de sellos de caja de Empalme. </w:t>
      </w:r>
    </w:p>
    <w:p w14:paraId="21CB3EB5" w14:textId="6887889B" w:rsidR="003A578D" w:rsidRDefault="00761DA0" w:rsidP="00761DA0">
      <w:pPr>
        <w:pStyle w:val="Default"/>
        <w:numPr>
          <w:ilvl w:val="1"/>
          <w:numId w:val="46"/>
        </w:numPr>
        <w:spacing w:after="22"/>
        <w:ind w:left="1134"/>
        <w:jc w:val="both"/>
        <w:rPr>
          <w:sz w:val="23"/>
          <w:szCs w:val="23"/>
        </w:rPr>
      </w:pPr>
      <w:r>
        <w:rPr>
          <w:sz w:val="23"/>
          <w:szCs w:val="23"/>
        </w:rPr>
        <w:t xml:space="preserve">xiii. </w:t>
      </w:r>
      <w:r w:rsidR="003A578D">
        <w:rPr>
          <w:sz w:val="23"/>
          <w:szCs w:val="23"/>
        </w:rPr>
        <w:t xml:space="preserve">Marca, modelo y serie de equipo compacto de medida. </w:t>
      </w:r>
    </w:p>
    <w:p w14:paraId="0D315F01" w14:textId="6A6614DE" w:rsidR="003A578D" w:rsidRDefault="00761DA0" w:rsidP="00761DA0">
      <w:pPr>
        <w:pStyle w:val="Default"/>
        <w:numPr>
          <w:ilvl w:val="1"/>
          <w:numId w:val="46"/>
        </w:numPr>
        <w:spacing w:after="22"/>
        <w:ind w:left="1134"/>
        <w:jc w:val="both"/>
        <w:rPr>
          <w:sz w:val="23"/>
          <w:szCs w:val="23"/>
        </w:rPr>
      </w:pPr>
      <w:r>
        <w:rPr>
          <w:sz w:val="23"/>
          <w:szCs w:val="23"/>
        </w:rPr>
        <w:t xml:space="preserve">xiv. </w:t>
      </w:r>
      <w:r w:rsidR="003A578D">
        <w:rPr>
          <w:sz w:val="23"/>
          <w:szCs w:val="23"/>
        </w:rPr>
        <w:t xml:space="preserve">Ajuste de razón de transformación del equipo compacto de medida. </w:t>
      </w:r>
    </w:p>
    <w:p w14:paraId="3A165426" w14:textId="15FFF46D" w:rsidR="003A578D" w:rsidRDefault="00761DA0" w:rsidP="00761DA0">
      <w:pPr>
        <w:pStyle w:val="Default"/>
        <w:numPr>
          <w:ilvl w:val="1"/>
          <w:numId w:val="46"/>
        </w:numPr>
        <w:spacing w:after="22"/>
        <w:ind w:left="1134"/>
        <w:jc w:val="both"/>
        <w:rPr>
          <w:sz w:val="23"/>
          <w:szCs w:val="23"/>
        </w:rPr>
      </w:pPr>
      <w:r>
        <w:rPr>
          <w:sz w:val="23"/>
          <w:szCs w:val="23"/>
        </w:rPr>
        <w:t xml:space="preserve">xv. </w:t>
      </w:r>
      <w:r w:rsidR="003A578D">
        <w:rPr>
          <w:sz w:val="23"/>
          <w:szCs w:val="23"/>
        </w:rPr>
        <w:t xml:space="preserve">Número de elementos del equipo compacto de medida. </w:t>
      </w:r>
    </w:p>
    <w:p w14:paraId="05A704C8" w14:textId="44ED5563" w:rsidR="003A578D" w:rsidRDefault="00761DA0" w:rsidP="00761DA0">
      <w:pPr>
        <w:pStyle w:val="Default"/>
        <w:numPr>
          <w:ilvl w:val="1"/>
          <w:numId w:val="46"/>
        </w:numPr>
        <w:ind w:left="1134"/>
        <w:jc w:val="both"/>
        <w:rPr>
          <w:sz w:val="23"/>
          <w:szCs w:val="23"/>
        </w:rPr>
      </w:pPr>
      <w:r>
        <w:rPr>
          <w:sz w:val="23"/>
          <w:szCs w:val="23"/>
        </w:rPr>
        <w:t xml:space="preserve">xvi. </w:t>
      </w:r>
      <w:r w:rsidR="003A578D">
        <w:rPr>
          <w:sz w:val="23"/>
          <w:szCs w:val="23"/>
        </w:rPr>
        <w:t xml:space="preserve">Calibre y material de acometida. </w:t>
      </w:r>
    </w:p>
    <w:p w14:paraId="736F315D" w14:textId="77777777" w:rsidR="003A578D" w:rsidRDefault="003A578D" w:rsidP="003A578D">
      <w:pPr>
        <w:pStyle w:val="Default"/>
        <w:numPr>
          <w:ilvl w:val="1"/>
          <w:numId w:val="46"/>
        </w:numPr>
        <w:jc w:val="both"/>
        <w:rPr>
          <w:sz w:val="23"/>
          <w:szCs w:val="23"/>
        </w:rPr>
      </w:pPr>
    </w:p>
    <w:p w14:paraId="0BC5AC48" w14:textId="50660001" w:rsidR="003A578D" w:rsidRDefault="00761DA0" w:rsidP="003A578D">
      <w:pPr>
        <w:pStyle w:val="Default"/>
        <w:numPr>
          <w:ilvl w:val="1"/>
          <w:numId w:val="46"/>
        </w:numPr>
        <w:jc w:val="both"/>
        <w:rPr>
          <w:sz w:val="23"/>
          <w:szCs w:val="23"/>
        </w:rPr>
      </w:pPr>
      <w:r>
        <w:rPr>
          <w:sz w:val="23"/>
          <w:szCs w:val="23"/>
        </w:rPr>
        <w:t xml:space="preserve">f.- </w:t>
      </w:r>
      <w:r w:rsidR="003A578D">
        <w:rPr>
          <w:sz w:val="23"/>
          <w:szCs w:val="23"/>
        </w:rPr>
        <w:t xml:space="preserve">Aprobación o rechazo, debiendo indicarse, detalladamente, las razones en este último caso. </w:t>
      </w:r>
    </w:p>
    <w:p w14:paraId="53DB884C" w14:textId="77777777" w:rsidR="00761DA0" w:rsidRDefault="00761DA0" w:rsidP="00761DA0">
      <w:pPr>
        <w:pStyle w:val="Prrafodelista"/>
        <w:rPr>
          <w:sz w:val="23"/>
          <w:szCs w:val="23"/>
        </w:rPr>
      </w:pPr>
    </w:p>
    <w:p w14:paraId="4C116EFC" w14:textId="77777777" w:rsidR="00761DA0" w:rsidRDefault="00761DA0" w:rsidP="003A578D">
      <w:pPr>
        <w:pStyle w:val="Default"/>
        <w:numPr>
          <w:ilvl w:val="1"/>
          <w:numId w:val="46"/>
        </w:numPr>
        <w:jc w:val="both"/>
        <w:rPr>
          <w:sz w:val="23"/>
          <w:szCs w:val="23"/>
        </w:rPr>
      </w:pPr>
    </w:p>
    <w:p w14:paraId="396F046C" w14:textId="77777777" w:rsidR="003A578D" w:rsidRDefault="003A578D" w:rsidP="003A578D">
      <w:pPr>
        <w:pStyle w:val="Default"/>
        <w:jc w:val="both"/>
        <w:rPr>
          <w:sz w:val="23"/>
          <w:szCs w:val="23"/>
        </w:rPr>
      </w:pPr>
      <w:r>
        <w:rPr>
          <w:sz w:val="23"/>
          <w:szCs w:val="23"/>
        </w:rPr>
        <w:t xml:space="preserve">El formulario de protocolo de conexión o ampliación deberá señalar, además, la fecha, hora y firma del técnico representante de la Empresa Distribuidora. </w:t>
      </w:r>
    </w:p>
    <w:p w14:paraId="6E3324C9" w14:textId="77777777" w:rsidR="00761DA0" w:rsidRDefault="00761DA0" w:rsidP="003A578D">
      <w:pPr>
        <w:pStyle w:val="Default"/>
        <w:jc w:val="both"/>
        <w:rPr>
          <w:sz w:val="23"/>
          <w:szCs w:val="23"/>
        </w:rPr>
      </w:pPr>
    </w:p>
    <w:p w14:paraId="73097AE6" w14:textId="77777777" w:rsidR="003A578D" w:rsidRDefault="003A578D" w:rsidP="003A578D">
      <w:pPr>
        <w:pStyle w:val="Default"/>
        <w:jc w:val="both"/>
        <w:rPr>
          <w:sz w:val="23"/>
          <w:szCs w:val="23"/>
        </w:rPr>
      </w:pPr>
      <w:r>
        <w:rPr>
          <w:sz w:val="23"/>
          <w:szCs w:val="23"/>
        </w:rPr>
        <w:t xml:space="preserve">Se deberá entregar copia del formulario de protocolo de conexión o ampliación de servicios al Requirente o propietario que se encuentre presente al momento de la ejecución del protocolo y dejar registro en el expediente referido en el Artículo 5-8 de esta NT. Este formulario podrá ser entregado de forma digital, toda vez que el Cliente cuente con los canales para recibirlo y acepte su entrega por esta vía. </w:t>
      </w:r>
    </w:p>
    <w:p w14:paraId="7FC7F4E8" w14:textId="77777777" w:rsidR="00761DA0" w:rsidRDefault="00761DA0" w:rsidP="003A578D">
      <w:pPr>
        <w:pStyle w:val="Default"/>
        <w:jc w:val="both"/>
        <w:rPr>
          <w:sz w:val="23"/>
          <w:szCs w:val="23"/>
        </w:rPr>
      </w:pPr>
    </w:p>
    <w:p w14:paraId="5BDA0F23" w14:textId="4DBCB753" w:rsidR="008115AA" w:rsidRDefault="003A578D" w:rsidP="003A578D">
      <w:pPr>
        <w:pStyle w:val="Default"/>
        <w:jc w:val="both"/>
        <w:rPr>
          <w:sz w:val="23"/>
          <w:szCs w:val="23"/>
        </w:rPr>
      </w:pPr>
      <w:r>
        <w:rPr>
          <w:sz w:val="23"/>
          <w:szCs w:val="23"/>
        </w:rPr>
        <w:t>Inmediatamente después de ejecutar el protocolo de conexión de servicio, la Empresa Distribuidora tendrá un plazo de 15 días hábiles para hacer la entrega del número de Cliente, que identifique el respectivo Empalme y le permita al Cliente hacer cualquier tipo de solicitud desde dicha fecha.</w:t>
      </w:r>
    </w:p>
    <w:p w14:paraId="5D4F1A15" w14:textId="77777777" w:rsidR="008115AA" w:rsidRDefault="008115AA" w:rsidP="008115AA">
      <w:pPr>
        <w:pStyle w:val="Default"/>
        <w:spacing w:after="22"/>
        <w:ind w:left="1560" w:hanging="709"/>
        <w:jc w:val="both"/>
        <w:rPr>
          <w:sz w:val="23"/>
          <w:szCs w:val="23"/>
        </w:rPr>
      </w:pPr>
    </w:p>
    <w:sectPr w:rsidR="008115AA" w:rsidSect="008E1C07">
      <w:pgSz w:w="12240" w:h="15840"/>
      <w:pgMar w:top="1417" w:right="1325"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360EFC"/>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1A486BBB">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4F45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33E2945"/>
    <w:multiLevelType w:val="hybridMultilevel"/>
    <w:tmpl w:val="FFFFFFFF"/>
    <w:lvl w:ilvl="0" w:tplc="FFFFFFFF">
      <w:start w:val="1"/>
      <w:numFmt w:val="decimal"/>
      <w:lvlText w:val="%1."/>
      <w:lvlJc w:val="left"/>
    </w:lvl>
    <w:lvl w:ilvl="1" w:tplc="A3156EEC">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AA005F"/>
    <w:multiLevelType w:val="hybridMultilevel"/>
    <w:tmpl w:val="FFFFFFFF"/>
    <w:lvl w:ilvl="0" w:tplc="FFFFFFFF">
      <w:start w:val="1"/>
      <w:numFmt w:val="ideographDigital"/>
      <w:lvlText w:val=""/>
      <w:lvlJc w:val="left"/>
    </w:lvl>
    <w:lvl w:ilvl="1" w:tplc="CE50B64E">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07D7A8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0A4F4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B716E23"/>
    <w:multiLevelType w:val="hybridMultilevel"/>
    <w:tmpl w:val="FFFFFFFF"/>
    <w:lvl w:ilvl="0" w:tplc="FFFFFFFF">
      <w:start w:val="1"/>
      <w:numFmt w:val="ideographDigital"/>
      <w:lvlText w:val=""/>
      <w:lvlJc w:val="left"/>
    </w:lvl>
    <w:lvl w:ilvl="1" w:tplc="FFFFFFFF">
      <w:start w:val="1"/>
      <w:numFmt w:val="lowerLetter"/>
      <w:lvlText w:val=""/>
      <w:lvlJc w:val="left"/>
    </w:lvl>
    <w:lvl w:ilvl="2" w:tplc="367AF46A">
      <w:start w:val="1"/>
      <w:numFmt w:val="lowerRoman"/>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BC5F549"/>
    <w:multiLevelType w:val="hybridMultilevel"/>
    <w:tmpl w:val="FFFFFFFF"/>
    <w:lvl w:ilvl="0" w:tplc="FFFFFFFF">
      <w:start w:val="1"/>
      <w:numFmt w:val="bullet"/>
      <w:lvlText w:val="•"/>
      <w:lvlJc w:val="left"/>
    </w:lvl>
    <w:lvl w:ilvl="1" w:tplc="DB8A4F0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CAE5D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0B64A51"/>
    <w:multiLevelType w:val="hybridMultilevel"/>
    <w:tmpl w:val="FFFFFFFF"/>
    <w:lvl w:ilvl="0" w:tplc="FFFFFFFF">
      <w:start w:val="1"/>
      <w:numFmt w:val="bullet"/>
      <w:lvlText w:val="•"/>
      <w:lvlJc w:val="left"/>
    </w:lvl>
    <w:lvl w:ilvl="1" w:tplc="3B216421">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AB88D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BA693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BC3842A"/>
    <w:multiLevelType w:val="hybridMultilevel"/>
    <w:tmpl w:val="F72A934C"/>
    <w:lvl w:ilvl="0" w:tplc="FFFFFFFF">
      <w:start w:val="1"/>
      <w:numFmt w:val="decimal"/>
      <w:lvlText w:val="%1."/>
      <w:lvlJc w:val="left"/>
    </w:lvl>
    <w:lvl w:ilvl="1" w:tplc="FFFFFFFF">
      <w:start w:val="1"/>
      <w:numFmt w:val="lowerLetter"/>
      <w:lvlText w:val="."/>
      <w:lvlJc w:val="left"/>
    </w:lvl>
    <w:lvl w:ilvl="2" w:tplc="4FC6E82E">
      <w:start w:val="1"/>
      <w:numFmt w:val="lowerRoman"/>
      <w:lvlText w:val="%3-"/>
      <w:lvlJc w:val="left"/>
      <w:rPr>
        <w:rFonts w:ascii="Calibri" w:eastAsiaTheme="minorHAnsi" w:hAnsi="Calibri" w:cs="Calibr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00E70B8"/>
    <w:multiLevelType w:val="hybridMultilevel"/>
    <w:tmpl w:val="FFFFFFFF"/>
    <w:lvl w:ilvl="0" w:tplc="FFFFFFFF">
      <w:start w:val="1"/>
      <w:numFmt w:val="ideographDigital"/>
      <w:lvlText w:val=""/>
      <w:lvlJc w:val="left"/>
    </w:lvl>
    <w:lvl w:ilvl="1" w:tplc="5FCF5E26">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22083E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375475E"/>
    <w:multiLevelType w:val="hybridMultilevel"/>
    <w:tmpl w:val="C17641EE"/>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EF053A"/>
    <w:multiLevelType w:val="multilevel"/>
    <w:tmpl w:val="7BEA4846"/>
    <w:lvl w:ilvl="0">
      <w:start w:val="1"/>
      <w:numFmt w:val="decimal"/>
      <w:lvlText w:val="%1"/>
      <w:lvlJc w:val="left"/>
      <w:pPr>
        <w:ind w:left="480" w:hanging="480"/>
      </w:pPr>
      <w:rPr>
        <w:rFonts w:hint="default"/>
      </w:rPr>
    </w:lvl>
    <w:lvl w:ilvl="1">
      <w:start w:val="2"/>
      <w:numFmt w:val="decimal"/>
      <w:lvlText w:val="%1.%2"/>
      <w:lvlJc w:val="left"/>
      <w:pPr>
        <w:ind w:left="946" w:hanging="480"/>
      </w:pPr>
      <w:rPr>
        <w:rFonts w:hint="default"/>
      </w:rPr>
    </w:lvl>
    <w:lvl w:ilvl="2">
      <w:start w:val="4"/>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17" w15:restartNumberingAfterBreak="0">
    <w:nsid w:val="0F5B591D"/>
    <w:multiLevelType w:val="hybridMultilevel"/>
    <w:tmpl w:val="D3223596"/>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10E813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0F2E725"/>
    <w:multiLevelType w:val="hybridMultilevel"/>
    <w:tmpl w:val="FFFFFFFF"/>
    <w:lvl w:ilvl="0" w:tplc="FFFFFFFF">
      <w:start w:val="1"/>
      <w:numFmt w:val="ideographDigital"/>
      <w:lvlText w:val=""/>
      <w:lvlJc w:val="left"/>
    </w:lvl>
    <w:lvl w:ilvl="1" w:tplc="96749C82">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2090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6ED283F"/>
    <w:multiLevelType w:val="hybridMultilevel"/>
    <w:tmpl w:val="B4582DD0"/>
    <w:lvl w:ilvl="0" w:tplc="1B48F7D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9452786"/>
    <w:multiLevelType w:val="hybridMultilevel"/>
    <w:tmpl w:val="2AC8BC30"/>
    <w:lvl w:ilvl="0" w:tplc="4D506B4C">
      <w:start w:val="1"/>
      <w:numFmt w:val="bullet"/>
      <w:lvlText w:val="-"/>
      <w:lvlJc w:val="left"/>
      <w:pPr>
        <w:ind w:left="1440" w:hanging="360"/>
      </w:pPr>
      <w:rPr>
        <w:rFonts w:ascii="Arial" w:eastAsiaTheme="minorHAns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3" w15:restartNumberingAfterBreak="0">
    <w:nsid w:val="1EF54B15"/>
    <w:multiLevelType w:val="hybridMultilevel"/>
    <w:tmpl w:val="2362F088"/>
    <w:lvl w:ilvl="0" w:tplc="9BC8F546">
      <w:start w:val="8"/>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21440D4A"/>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C5929FD1">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24B4229"/>
    <w:multiLevelType w:val="multilevel"/>
    <w:tmpl w:val="C60A29D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6" w15:restartNumberingAfterBreak="0">
    <w:nsid w:val="226E17B3"/>
    <w:multiLevelType w:val="multilevel"/>
    <w:tmpl w:val="ACE429F0"/>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7" w15:restartNumberingAfterBreak="0">
    <w:nsid w:val="22B77EEA"/>
    <w:multiLevelType w:val="multilevel"/>
    <w:tmpl w:val="7744F766"/>
    <w:lvl w:ilvl="0">
      <w:start w:val="2"/>
      <w:numFmt w:val="decimal"/>
      <w:lvlText w:val="%1"/>
      <w:lvlJc w:val="left"/>
      <w:pPr>
        <w:ind w:left="360" w:hanging="360"/>
      </w:pPr>
      <w:rPr>
        <w:rFonts w:hint="default"/>
        <w:sz w:val="24"/>
      </w:rPr>
    </w:lvl>
    <w:lvl w:ilvl="1">
      <w:start w:val="2"/>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8" w15:restartNumberingAfterBreak="0">
    <w:nsid w:val="2783B67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32FE1970">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B3F530D"/>
    <w:multiLevelType w:val="multilevel"/>
    <w:tmpl w:val="CA3011E0"/>
    <w:lvl w:ilvl="0">
      <w:start w:val="1"/>
      <w:numFmt w:val="decimal"/>
      <w:lvlText w:val="%1"/>
      <w:lvlJc w:val="left"/>
      <w:pPr>
        <w:ind w:left="480" w:hanging="480"/>
      </w:pPr>
      <w:rPr>
        <w:rFonts w:hint="default"/>
      </w:rPr>
    </w:lvl>
    <w:lvl w:ilvl="1">
      <w:start w:val="3"/>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0" w15:restartNumberingAfterBreak="0">
    <w:nsid w:val="2F9F8204"/>
    <w:multiLevelType w:val="hybridMultilevel"/>
    <w:tmpl w:val="FFFFFFFF"/>
    <w:lvl w:ilvl="0" w:tplc="FFFFFFFF">
      <w:start w:val="1"/>
      <w:numFmt w:val="bullet"/>
      <w:lvlText w:val="•"/>
      <w:lvlJc w:val="left"/>
    </w:lvl>
    <w:lvl w:ilvl="1" w:tplc="80D5F46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083402B"/>
    <w:multiLevelType w:val="multilevel"/>
    <w:tmpl w:val="E20A2DD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32598C19"/>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3B402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99E1374"/>
    <w:multiLevelType w:val="hybridMultilevel"/>
    <w:tmpl w:val="8CB0AD7A"/>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E7E2964"/>
    <w:multiLevelType w:val="hybridMultilevel"/>
    <w:tmpl w:val="E5B619A2"/>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27D609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A44F5EF"/>
    <w:multiLevelType w:val="hybridMultilevel"/>
    <w:tmpl w:val="E9003D22"/>
    <w:lvl w:ilvl="0" w:tplc="4D506B4C">
      <w:start w:val="1"/>
      <w:numFmt w:val="bullet"/>
      <w:lvlText w:val="-"/>
      <w:lvlJc w:val="left"/>
      <w:rPr>
        <w:rFonts w:ascii="Arial" w:eastAsiaTheme="minorHAnsi" w:hAnsi="Arial" w:cs="Arial" w:hint="default"/>
      </w:rPr>
    </w:lvl>
    <w:lvl w:ilvl="1" w:tplc="4D506B4C">
      <w:start w:val="1"/>
      <w:numFmt w:val="bullet"/>
      <w:lvlText w:val="-"/>
      <w:lvlJc w:val="left"/>
      <w:pPr>
        <w:ind w:left="1440" w:hanging="360"/>
      </w:pPr>
      <w:rPr>
        <w:rFonts w:ascii="Arial" w:eastAsiaTheme="minorHAnsi"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F03692E"/>
    <w:multiLevelType w:val="multilevel"/>
    <w:tmpl w:val="C4103BA4"/>
    <w:lvl w:ilvl="0">
      <w:start w:val="1"/>
      <w:numFmt w:val="decimal"/>
      <w:lvlText w:val="%1"/>
      <w:lvlJc w:val="left"/>
      <w:pPr>
        <w:ind w:left="480" w:hanging="480"/>
      </w:pPr>
      <w:rPr>
        <w:rFonts w:hint="default"/>
        <w:sz w:val="24"/>
      </w:rPr>
    </w:lvl>
    <w:lvl w:ilvl="1">
      <w:start w:val="2"/>
      <w:numFmt w:val="decimal"/>
      <w:lvlText w:val="%1.%2"/>
      <w:lvlJc w:val="left"/>
      <w:pPr>
        <w:ind w:left="905" w:hanging="48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39" w15:restartNumberingAfterBreak="0">
    <w:nsid w:val="4FC91065"/>
    <w:multiLevelType w:val="hybridMultilevel"/>
    <w:tmpl w:val="59D6CD7C"/>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0D67B1B"/>
    <w:multiLevelType w:val="hybridMultilevel"/>
    <w:tmpl w:val="035672CE"/>
    <w:lvl w:ilvl="0" w:tplc="340A0001">
      <w:start w:val="1"/>
      <w:numFmt w:val="bullet"/>
      <w:lvlText w:val=""/>
      <w:lvlJc w:val="left"/>
      <w:pPr>
        <w:ind w:left="1004" w:hanging="360"/>
      </w:pPr>
      <w:rPr>
        <w:rFonts w:ascii="Symbol" w:hAnsi="Symbol" w:hint="default"/>
      </w:rPr>
    </w:lvl>
    <w:lvl w:ilvl="1" w:tplc="340A0003">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41" w15:restartNumberingAfterBreak="0">
    <w:nsid w:val="51B83F7B"/>
    <w:multiLevelType w:val="hybridMultilevel"/>
    <w:tmpl w:val="07801A28"/>
    <w:lvl w:ilvl="0" w:tplc="6E924E94">
      <w:start w:val="1"/>
      <w:numFmt w:val="lowerRoman"/>
      <w:lvlText w:val="%1."/>
      <w:lvlJc w:val="left"/>
      <w:pPr>
        <w:ind w:left="1713" w:hanging="720"/>
      </w:pPr>
      <w:rPr>
        <w:rFonts w:hint="default"/>
      </w:rPr>
    </w:lvl>
    <w:lvl w:ilvl="1" w:tplc="340A0019" w:tentative="1">
      <w:start w:val="1"/>
      <w:numFmt w:val="lowerLetter"/>
      <w:lvlText w:val="%2."/>
      <w:lvlJc w:val="left"/>
      <w:pPr>
        <w:ind w:left="2073" w:hanging="360"/>
      </w:pPr>
    </w:lvl>
    <w:lvl w:ilvl="2" w:tplc="340A001B" w:tentative="1">
      <w:start w:val="1"/>
      <w:numFmt w:val="lowerRoman"/>
      <w:lvlText w:val="%3."/>
      <w:lvlJc w:val="right"/>
      <w:pPr>
        <w:ind w:left="2793" w:hanging="180"/>
      </w:pPr>
    </w:lvl>
    <w:lvl w:ilvl="3" w:tplc="340A000F" w:tentative="1">
      <w:start w:val="1"/>
      <w:numFmt w:val="decimal"/>
      <w:lvlText w:val="%4."/>
      <w:lvlJc w:val="left"/>
      <w:pPr>
        <w:ind w:left="3513" w:hanging="360"/>
      </w:pPr>
    </w:lvl>
    <w:lvl w:ilvl="4" w:tplc="340A0019" w:tentative="1">
      <w:start w:val="1"/>
      <w:numFmt w:val="lowerLetter"/>
      <w:lvlText w:val="%5."/>
      <w:lvlJc w:val="left"/>
      <w:pPr>
        <w:ind w:left="4233" w:hanging="360"/>
      </w:pPr>
    </w:lvl>
    <w:lvl w:ilvl="5" w:tplc="340A001B" w:tentative="1">
      <w:start w:val="1"/>
      <w:numFmt w:val="lowerRoman"/>
      <w:lvlText w:val="%6."/>
      <w:lvlJc w:val="right"/>
      <w:pPr>
        <w:ind w:left="4953" w:hanging="180"/>
      </w:pPr>
    </w:lvl>
    <w:lvl w:ilvl="6" w:tplc="340A000F" w:tentative="1">
      <w:start w:val="1"/>
      <w:numFmt w:val="decimal"/>
      <w:lvlText w:val="%7."/>
      <w:lvlJc w:val="left"/>
      <w:pPr>
        <w:ind w:left="5673" w:hanging="360"/>
      </w:pPr>
    </w:lvl>
    <w:lvl w:ilvl="7" w:tplc="340A0019" w:tentative="1">
      <w:start w:val="1"/>
      <w:numFmt w:val="lowerLetter"/>
      <w:lvlText w:val="%8."/>
      <w:lvlJc w:val="left"/>
      <w:pPr>
        <w:ind w:left="6393" w:hanging="360"/>
      </w:pPr>
    </w:lvl>
    <w:lvl w:ilvl="8" w:tplc="340A001B" w:tentative="1">
      <w:start w:val="1"/>
      <w:numFmt w:val="lowerRoman"/>
      <w:lvlText w:val="%9."/>
      <w:lvlJc w:val="right"/>
      <w:pPr>
        <w:ind w:left="7113" w:hanging="180"/>
      </w:pPr>
    </w:lvl>
  </w:abstractNum>
  <w:abstractNum w:abstractNumId="42" w15:restartNumberingAfterBreak="0">
    <w:nsid w:val="59E4AB49"/>
    <w:multiLevelType w:val="hybridMultilevel"/>
    <w:tmpl w:val="FFFFFFFF"/>
    <w:lvl w:ilvl="0" w:tplc="FFFFFFFF">
      <w:start w:val="1"/>
      <w:numFmt w:val="bullet"/>
      <w:lvlText w:val="•"/>
      <w:lvlJc w:val="left"/>
    </w:lvl>
    <w:lvl w:ilvl="1" w:tplc="199595BB">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11B2EE8"/>
    <w:multiLevelType w:val="hybridMultilevel"/>
    <w:tmpl w:val="FFFFFFFF"/>
    <w:lvl w:ilvl="0" w:tplc="FFFFFFFF">
      <w:start w:val="1"/>
      <w:numFmt w:val="decimal"/>
      <w:lvlText w:val="%1."/>
      <w:lvlJc w:val="left"/>
    </w:lvl>
    <w:lvl w:ilvl="1" w:tplc="0CDB5FA5">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CEBDD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A86489E"/>
    <w:multiLevelType w:val="hybridMultilevel"/>
    <w:tmpl w:val="42120284"/>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7C02D3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6E2699"/>
    <w:multiLevelType w:val="multilevel"/>
    <w:tmpl w:val="DB14207C"/>
    <w:lvl w:ilvl="0">
      <w:start w:val="1"/>
      <w:numFmt w:val="decimal"/>
      <w:lvlText w:val="%1"/>
      <w:lvlJc w:val="left"/>
      <w:pPr>
        <w:ind w:left="480" w:hanging="480"/>
      </w:pPr>
      <w:rPr>
        <w:rFonts w:hint="default"/>
      </w:rPr>
    </w:lvl>
    <w:lvl w:ilvl="1">
      <w:start w:val="2"/>
      <w:numFmt w:val="decimal"/>
      <w:lvlText w:val="%1.%2"/>
      <w:lvlJc w:val="left"/>
      <w:pPr>
        <w:ind w:left="932" w:hanging="480"/>
      </w:pPr>
      <w:rPr>
        <w:rFonts w:hint="default"/>
      </w:rPr>
    </w:lvl>
    <w:lvl w:ilvl="2">
      <w:start w:val="3"/>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888" w:hanging="108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4152" w:hanging="144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416" w:hanging="1800"/>
      </w:pPr>
      <w:rPr>
        <w:rFonts w:hint="default"/>
      </w:rPr>
    </w:lvl>
  </w:abstractNum>
  <w:num w:numId="1" w16cid:durableId="1632400264">
    <w:abstractNumId w:val="2"/>
  </w:num>
  <w:num w:numId="2" w16cid:durableId="1670793824">
    <w:abstractNumId w:val="33"/>
  </w:num>
  <w:num w:numId="3" w16cid:durableId="2129811105">
    <w:abstractNumId w:val="13"/>
  </w:num>
  <w:num w:numId="4" w16cid:durableId="1642269979">
    <w:abstractNumId w:val="25"/>
  </w:num>
  <w:num w:numId="5" w16cid:durableId="410545369">
    <w:abstractNumId w:val="26"/>
  </w:num>
  <w:num w:numId="6" w16cid:durableId="1283263506">
    <w:abstractNumId w:val="31"/>
  </w:num>
  <w:num w:numId="7" w16cid:durableId="491720280">
    <w:abstractNumId w:val="19"/>
  </w:num>
  <w:num w:numId="8" w16cid:durableId="847402984">
    <w:abstractNumId w:val="38"/>
  </w:num>
  <w:num w:numId="9" w16cid:durableId="1416244554">
    <w:abstractNumId w:val="47"/>
  </w:num>
  <w:num w:numId="10" w16cid:durableId="448859676">
    <w:abstractNumId w:val="16"/>
  </w:num>
  <w:num w:numId="11" w16cid:durableId="1442795611">
    <w:abstractNumId w:val="28"/>
  </w:num>
  <w:num w:numId="12" w16cid:durableId="1373654175">
    <w:abstractNumId w:val="37"/>
  </w:num>
  <w:num w:numId="13" w16cid:durableId="755591056">
    <w:abstractNumId w:val="23"/>
  </w:num>
  <w:num w:numId="14" w16cid:durableId="1450396443">
    <w:abstractNumId w:val="22"/>
  </w:num>
  <w:num w:numId="15" w16cid:durableId="325784360">
    <w:abstractNumId w:val="24"/>
  </w:num>
  <w:num w:numId="16" w16cid:durableId="417215550">
    <w:abstractNumId w:val="29"/>
  </w:num>
  <w:num w:numId="17" w16cid:durableId="2116553259">
    <w:abstractNumId w:val="18"/>
  </w:num>
  <w:num w:numId="18" w16cid:durableId="937493502">
    <w:abstractNumId w:val="15"/>
  </w:num>
  <w:num w:numId="19" w16cid:durableId="1779912770">
    <w:abstractNumId w:val="34"/>
  </w:num>
  <w:num w:numId="20" w16cid:durableId="1756396599">
    <w:abstractNumId w:val="20"/>
  </w:num>
  <w:num w:numId="21" w16cid:durableId="180431973">
    <w:abstractNumId w:val="14"/>
  </w:num>
  <w:num w:numId="22" w16cid:durableId="834877979">
    <w:abstractNumId w:val="4"/>
  </w:num>
  <w:num w:numId="23" w16cid:durableId="1387223338">
    <w:abstractNumId w:val="7"/>
  </w:num>
  <w:num w:numId="24" w16cid:durableId="1589656483">
    <w:abstractNumId w:val="30"/>
  </w:num>
  <w:num w:numId="25" w16cid:durableId="665597006">
    <w:abstractNumId w:val="40"/>
  </w:num>
  <w:num w:numId="26" w16cid:durableId="474640989">
    <w:abstractNumId w:val="39"/>
  </w:num>
  <w:num w:numId="27" w16cid:durableId="891770498">
    <w:abstractNumId w:val="17"/>
  </w:num>
  <w:num w:numId="28" w16cid:durableId="405153256">
    <w:abstractNumId w:val="35"/>
  </w:num>
  <w:num w:numId="29" w16cid:durableId="2092000296">
    <w:abstractNumId w:val="1"/>
  </w:num>
  <w:num w:numId="30" w16cid:durableId="1930431751">
    <w:abstractNumId w:val="45"/>
  </w:num>
  <w:num w:numId="31" w16cid:durableId="1994798374">
    <w:abstractNumId w:val="9"/>
  </w:num>
  <w:num w:numId="32" w16cid:durableId="1736590532">
    <w:abstractNumId w:val="27"/>
  </w:num>
  <w:num w:numId="33" w16cid:durableId="563687285">
    <w:abstractNumId w:val="42"/>
  </w:num>
  <w:num w:numId="34" w16cid:durableId="1962298538">
    <w:abstractNumId w:val="10"/>
  </w:num>
  <w:num w:numId="35" w16cid:durableId="1311981374">
    <w:abstractNumId w:val="12"/>
  </w:num>
  <w:num w:numId="36" w16cid:durableId="72092543">
    <w:abstractNumId w:val="6"/>
  </w:num>
  <w:num w:numId="37" w16cid:durableId="233048081">
    <w:abstractNumId w:val="44"/>
  </w:num>
  <w:num w:numId="38" w16cid:durableId="1211310979">
    <w:abstractNumId w:val="43"/>
  </w:num>
  <w:num w:numId="39" w16cid:durableId="1773091854">
    <w:abstractNumId w:val="3"/>
  </w:num>
  <w:num w:numId="40" w16cid:durableId="157118038">
    <w:abstractNumId w:val="0"/>
  </w:num>
  <w:num w:numId="41" w16cid:durableId="918633039">
    <w:abstractNumId w:val="46"/>
  </w:num>
  <w:num w:numId="42" w16cid:durableId="474957230">
    <w:abstractNumId w:val="32"/>
  </w:num>
  <w:num w:numId="43" w16cid:durableId="1598252391">
    <w:abstractNumId w:val="36"/>
  </w:num>
  <w:num w:numId="44" w16cid:durableId="2138138659">
    <w:abstractNumId w:val="5"/>
  </w:num>
  <w:num w:numId="45" w16cid:durableId="1553689720">
    <w:abstractNumId w:val="11"/>
  </w:num>
  <w:num w:numId="46" w16cid:durableId="1897470434">
    <w:abstractNumId w:val="8"/>
  </w:num>
  <w:num w:numId="47" w16cid:durableId="1950775304">
    <w:abstractNumId w:val="21"/>
  </w:num>
  <w:num w:numId="48" w16cid:durableId="18848260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70"/>
    <w:rsid w:val="00050900"/>
    <w:rsid w:val="000E1D82"/>
    <w:rsid w:val="00150AFF"/>
    <w:rsid w:val="001E1A70"/>
    <w:rsid w:val="002E3DC8"/>
    <w:rsid w:val="003A578D"/>
    <w:rsid w:val="00487020"/>
    <w:rsid w:val="004F0AAA"/>
    <w:rsid w:val="00733357"/>
    <w:rsid w:val="00761DA0"/>
    <w:rsid w:val="007A747F"/>
    <w:rsid w:val="008115AA"/>
    <w:rsid w:val="008257F5"/>
    <w:rsid w:val="008E1C07"/>
    <w:rsid w:val="0092794B"/>
    <w:rsid w:val="009D431A"/>
    <w:rsid w:val="00A05EFE"/>
    <w:rsid w:val="00A14894"/>
    <w:rsid w:val="00A3144C"/>
    <w:rsid w:val="00B41D2B"/>
    <w:rsid w:val="00B60A2D"/>
    <w:rsid w:val="00BC4D32"/>
    <w:rsid w:val="00C076DC"/>
    <w:rsid w:val="00C178D5"/>
    <w:rsid w:val="00DC05AA"/>
    <w:rsid w:val="00DC3B54"/>
    <w:rsid w:val="00DD0F2C"/>
    <w:rsid w:val="00E22275"/>
    <w:rsid w:val="00E454E4"/>
    <w:rsid w:val="00F063E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5007"/>
  <w15:chartTrackingRefBased/>
  <w15:docId w15:val="{28168E16-3409-403D-9421-B30DC478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1A70"/>
    <w:pPr>
      <w:autoSpaceDE w:val="0"/>
      <w:autoSpaceDN w:val="0"/>
      <w:adjustRightInd w:val="0"/>
      <w:spacing w:after="0" w:line="240" w:lineRule="auto"/>
    </w:pPr>
    <w:rPr>
      <w:rFonts w:ascii="Calibri" w:hAnsi="Calibri" w:cs="Calibri"/>
      <w:color w:val="000000"/>
      <w:kern w:val="0"/>
      <w:sz w:val="24"/>
      <w:szCs w:val="24"/>
    </w:rPr>
  </w:style>
  <w:style w:type="paragraph" w:styleId="Prrafodelista">
    <w:name w:val="List Paragraph"/>
    <w:basedOn w:val="Normal"/>
    <w:uiPriority w:val="34"/>
    <w:qFormat/>
    <w:rsid w:val="00761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788D-3784-4599-B127-9D5407BF6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3500</Words>
  <Characters>19251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Daniel Cerda Benecett</dc:creator>
  <cp:keywords/>
  <dc:description/>
  <cp:lastModifiedBy>Mauricio Daniel Cerda Benecett</cp:lastModifiedBy>
  <cp:revision>3</cp:revision>
  <dcterms:created xsi:type="dcterms:W3CDTF">2025-12-22T00:43:00Z</dcterms:created>
  <dcterms:modified xsi:type="dcterms:W3CDTF">2025-12-22T01:06:00Z</dcterms:modified>
</cp:coreProperties>
</file>