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A25782" w14:textId="0B23391E" w:rsidR="00071C87" w:rsidRDefault="009F1645" w:rsidP="009F1645">
      <w:pPr>
        <w:spacing w:after="0" w:line="240" w:lineRule="auto"/>
        <w:jc w:val="center"/>
        <w:outlineLvl w:val="1"/>
        <w:rPr>
          <w:rFonts w:ascii="Arial" w:eastAsia="Times New Roman" w:hAnsi="Arial" w:cs="Arial"/>
          <w:b/>
          <w:bCs/>
          <w:color w:val="001689"/>
          <w:spacing w:val="-5"/>
          <w:kern w:val="0"/>
          <w:sz w:val="33"/>
          <w:szCs w:val="33"/>
          <w:lang w:eastAsia="es-CL"/>
          <w14:ligatures w14:val="none"/>
        </w:rPr>
      </w:pPr>
      <w:bookmarkStart w:id="0" w:name="_Hlk213341165"/>
      <w:r w:rsidRPr="009F1645">
        <w:rPr>
          <w:rFonts w:ascii="Arial" w:eastAsia="Times New Roman" w:hAnsi="Arial" w:cs="Arial"/>
          <w:b/>
          <w:bCs/>
          <w:color w:val="001689"/>
          <w:spacing w:val="-5"/>
          <w:kern w:val="0"/>
          <w:sz w:val="33"/>
          <w:szCs w:val="33"/>
          <w:lang w:eastAsia="es-CL"/>
          <w14:ligatures w14:val="none"/>
        </w:rPr>
        <w:t>Norma Técnica de Calidad de Servicio para Sistemas de Distribución</w:t>
      </w:r>
    </w:p>
    <w:p w14:paraId="6A067C20" w14:textId="77777777" w:rsidR="009F1645" w:rsidRPr="009F1645" w:rsidRDefault="009F1645" w:rsidP="009F1645">
      <w:pPr>
        <w:spacing w:after="0" w:line="240" w:lineRule="auto"/>
        <w:jc w:val="center"/>
        <w:outlineLvl w:val="1"/>
        <w:rPr>
          <w:rFonts w:ascii="Arial" w:eastAsia="Times New Roman" w:hAnsi="Arial" w:cs="Arial"/>
          <w:b/>
          <w:bCs/>
          <w:color w:val="001689"/>
          <w:spacing w:val="-5"/>
          <w:kern w:val="0"/>
          <w:sz w:val="33"/>
          <w:szCs w:val="33"/>
          <w:lang w:eastAsia="es-CL"/>
          <w14:ligatures w14:val="none"/>
        </w:rPr>
      </w:pPr>
    </w:p>
    <w:p w14:paraId="4B57401D" w14:textId="361EAAC8" w:rsidR="00071C87" w:rsidRDefault="009F1645" w:rsidP="00071C87">
      <w:pPr>
        <w:spacing w:after="0" w:line="240" w:lineRule="auto"/>
        <w:jc w:val="both"/>
        <w:outlineLvl w:val="1"/>
        <w:rPr>
          <w:rFonts w:ascii="Arial" w:eastAsia="Times New Roman" w:hAnsi="Arial" w:cs="Arial"/>
          <w:color w:val="001689"/>
          <w:spacing w:val="-5"/>
          <w:kern w:val="0"/>
          <w:sz w:val="33"/>
          <w:szCs w:val="33"/>
          <w:lang w:eastAsia="es-CL"/>
          <w14:ligatures w14:val="none"/>
        </w:rPr>
      </w:pPr>
      <w:r>
        <w:rPr>
          <w:rFonts w:ascii="Arial" w:eastAsia="Times New Roman" w:hAnsi="Arial" w:cs="Arial"/>
          <w:color w:val="001689"/>
          <w:spacing w:val="-5"/>
          <w:kern w:val="0"/>
          <w:sz w:val="33"/>
          <w:szCs w:val="33"/>
          <w:lang w:eastAsia="es-CL"/>
          <w14:ligatures w14:val="none"/>
        </w:rPr>
        <w:t>Título 5-1 Conexión o Ampliación de Servicios</w:t>
      </w:r>
    </w:p>
    <w:p w14:paraId="519E467E" w14:textId="77777777" w:rsidR="00071C87" w:rsidRPr="00071C87" w:rsidRDefault="00071C87" w:rsidP="00071C87">
      <w:pPr>
        <w:spacing w:after="0" w:line="240" w:lineRule="auto"/>
        <w:jc w:val="both"/>
        <w:outlineLvl w:val="1"/>
        <w:rPr>
          <w:rFonts w:ascii="Arial" w:eastAsia="Times New Roman" w:hAnsi="Arial" w:cs="Arial"/>
          <w:color w:val="001689"/>
          <w:spacing w:val="-5"/>
          <w:kern w:val="0"/>
          <w:sz w:val="33"/>
          <w:szCs w:val="33"/>
          <w:lang w:eastAsia="es-CL"/>
          <w14:ligatures w14:val="none"/>
        </w:rPr>
      </w:pPr>
    </w:p>
    <w:bookmarkEnd w:id="0"/>
    <w:p w14:paraId="23BC80FF" w14:textId="07557A85" w:rsidR="001B7DAD" w:rsidRPr="00071C87" w:rsidRDefault="009904CA" w:rsidP="001B7DAD">
      <w:pPr>
        <w:spacing w:after="300" w:line="240" w:lineRule="auto"/>
        <w:jc w:val="both"/>
        <w:rPr>
          <w:rFonts w:ascii="Arial" w:eastAsia="Times New Roman" w:hAnsi="Arial" w:cs="Arial"/>
          <w:color w:val="001689"/>
          <w:spacing w:val="3"/>
          <w:kern w:val="0"/>
          <w:sz w:val="21"/>
          <w:szCs w:val="21"/>
          <w:lang w:eastAsia="es-CL"/>
          <w14:ligatures w14:val="none"/>
        </w:rPr>
      </w:pPr>
      <w:r>
        <w:rPr>
          <w:rFonts w:ascii="Arial" w:eastAsia="Times New Roman" w:hAnsi="Arial" w:cs="Arial"/>
          <w:b/>
          <w:bCs/>
          <w:color w:val="001689"/>
          <w:spacing w:val="3"/>
          <w:kern w:val="0"/>
          <w:sz w:val="21"/>
          <w:szCs w:val="21"/>
          <w:lang w:eastAsia="es-CL"/>
          <w14:ligatures w14:val="none"/>
        </w:rPr>
        <w:t>Garantías p</w:t>
      </w:r>
      <w:r w:rsidR="00594F84">
        <w:rPr>
          <w:rFonts w:ascii="Arial" w:eastAsia="Times New Roman" w:hAnsi="Arial" w:cs="Arial"/>
          <w:b/>
          <w:bCs/>
          <w:color w:val="001689"/>
          <w:spacing w:val="3"/>
          <w:kern w:val="0"/>
          <w:sz w:val="21"/>
          <w:szCs w:val="21"/>
          <w:lang w:eastAsia="es-CL"/>
          <w14:ligatures w14:val="none"/>
        </w:rPr>
        <w:t>ara</w:t>
      </w:r>
      <w:r>
        <w:rPr>
          <w:rFonts w:ascii="Arial" w:eastAsia="Times New Roman" w:hAnsi="Arial" w:cs="Arial"/>
          <w:b/>
          <w:bCs/>
          <w:color w:val="001689"/>
          <w:spacing w:val="3"/>
          <w:kern w:val="0"/>
          <w:sz w:val="21"/>
          <w:szCs w:val="21"/>
          <w:lang w:eastAsia="es-CL"/>
          <w14:ligatures w14:val="none"/>
        </w:rPr>
        <w:t xml:space="preserve"> </w:t>
      </w:r>
      <w:r w:rsidR="00594F84">
        <w:rPr>
          <w:rFonts w:ascii="Arial" w:eastAsia="Times New Roman" w:hAnsi="Arial" w:cs="Arial"/>
          <w:b/>
          <w:bCs/>
          <w:color w:val="001689"/>
          <w:spacing w:val="3"/>
          <w:kern w:val="0"/>
          <w:sz w:val="21"/>
          <w:szCs w:val="21"/>
          <w:lang w:eastAsia="es-CL"/>
          <w14:ligatures w14:val="none"/>
        </w:rPr>
        <w:t>C</w:t>
      </w:r>
      <w:r>
        <w:rPr>
          <w:rFonts w:ascii="Arial" w:eastAsia="Times New Roman" w:hAnsi="Arial" w:cs="Arial"/>
          <w:b/>
          <w:bCs/>
          <w:color w:val="001689"/>
          <w:spacing w:val="3"/>
          <w:kern w:val="0"/>
          <w:sz w:val="21"/>
          <w:szCs w:val="21"/>
          <w:lang w:eastAsia="es-CL"/>
          <w14:ligatures w14:val="none"/>
        </w:rPr>
        <w:t>auci</w:t>
      </w:r>
      <w:r w:rsidR="00594F84">
        <w:rPr>
          <w:rFonts w:ascii="Arial" w:eastAsia="Times New Roman" w:hAnsi="Arial" w:cs="Arial"/>
          <w:b/>
          <w:bCs/>
          <w:color w:val="001689"/>
          <w:spacing w:val="3"/>
          <w:kern w:val="0"/>
          <w:sz w:val="21"/>
          <w:szCs w:val="21"/>
          <w:lang w:eastAsia="es-CL"/>
          <w14:ligatures w14:val="none"/>
        </w:rPr>
        <w:t>onar</w:t>
      </w:r>
      <w:r>
        <w:rPr>
          <w:rFonts w:ascii="Arial" w:eastAsia="Times New Roman" w:hAnsi="Arial" w:cs="Arial"/>
          <w:b/>
          <w:bCs/>
          <w:color w:val="001689"/>
          <w:spacing w:val="3"/>
          <w:kern w:val="0"/>
          <w:sz w:val="21"/>
          <w:szCs w:val="21"/>
          <w:lang w:eastAsia="es-CL"/>
          <w14:ligatures w14:val="none"/>
        </w:rPr>
        <w:t xml:space="preserve"> </w:t>
      </w:r>
      <w:r w:rsidR="00594F84">
        <w:rPr>
          <w:rFonts w:ascii="Arial" w:eastAsia="Times New Roman" w:hAnsi="Arial" w:cs="Arial"/>
          <w:b/>
          <w:bCs/>
          <w:color w:val="001689"/>
          <w:spacing w:val="3"/>
          <w:kern w:val="0"/>
          <w:sz w:val="21"/>
          <w:szCs w:val="21"/>
          <w:lang w:eastAsia="es-CL"/>
          <w14:ligatures w14:val="none"/>
        </w:rPr>
        <w:t>P</w:t>
      </w:r>
      <w:r>
        <w:rPr>
          <w:rFonts w:ascii="Arial" w:eastAsia="Times New Roman" w:hAnsi="Arial" w:cs="Arial"/>
          <w:b/>
          <w:bCs/>
          <w:color w:val="001689"/>
          <w:spacing w:val="3"/>
          <w:kern w:val="0"/>
          <w:sz w:val="21"/>
          <w:szCs w:val="21"/>
          <w:lang w:eastAsia="es-CL"/>
          <w14:ligatures w14:val="none"/>
        </w:rPr>
        <w:t>otencia</w:t>
      </w:r>
    </w:p>
    <w:p w14:paraId="0E837EED" w14:textId="60A61A99" w:rsidR="00594F84" w:rsidRDefault="00594F84" w:rsidP="001B7DAD">
      <w:pPr>
        <w:spacing w:after="300" w:line="240" w:lineRule="auto"/>
        <w:ind w:left="709"/>
        <w:jc w:val="both"/>
        <w:rPr>
          <w:rFonts w:ascii="Arial" w:eastAsia="Times New Roman" w:hAnsi="Arial" w:cs="Arial"/>
          <w:color w:val="001689"/>
          <w:spacing w:val="3"/>
          <w:kern w:val="0"/>
          <w:sz w:val="21"/>
          <w:szCs w:val="21"/>
          <w:lang w:eastAsia="es-CL"/>
          <w14:ligatures w14:val="none"/>
        </w:rPr>
      </w:pPr>
      <w:r>
        <w:rPr>
          <w:rFonts w:ascii="Arial" w:eastAsia="Times New Roman" w:hAnsi="Arial" w:cs="Arial"/>
          <w:color w:val="001689"/>
          <w:spacing w:val="3"/>
          <w:kern w:val="0"/>
          <w:sz w:val="21"/>
          <w:szCs w:val="21"/>
          <w:lang w:eastAsia="es-CL"/>
          <w14:ligatures w14:val="none"/>
        </w:rPr>
        <w:t>De conformidad con señalado en el Artículo 126° de la Ley General de Servicios Eléctricos, las Distribuidoras podrán requerir garantías para caucionar la potencia solicitada para un nuevo servicio o aumento de capacidad para potencias conectadas sobre 10 kW.</w:t>
      </w:r>
    </w:p>
    <w:p w14:paraId="332B3469" w14:textId="7DB559AF" w:rsidR="00594F84" w:rsidRDefault="00594F84" w:rsidP="001B7DAD">
      <w:pPr>
        <w:spacing w:after="300" w:line="240" w:lineRule="auto"/>
        <w:ind w:left="709"/>
        <w:jc w:val="both"/>
        <w:rPr>
          <w:rFonts w:ascii="Arial" w:eastAsia="Times New Roman" w:hAnsi="Arial" w:cs="Arial"/>
          <w:color w:val="001689"/>
          <w:spacing w:val="3"/>
          <w:kern w:val="0"/>
          <w:sz w:val="21"/>
          <w:szCs w:val="21"/>
          <w:lang w:eastAsia="es-CL"/>
          <w14:ligatures w14:val="none"/>
        </w:rPr>
      </w:pPr>
      <w:r>
        <w:rPr>
          <w:rFonts w:ascii="Arial" w:eastAsia="Times New Roman" w:hAnsi="Arial" w:cs="Arial"/>
          <w:color w:val="001689"/>
          <w:spacing w:val="3"/>
          <w:kern w:val="0"/>
          <w:sz w:val="21"/>
          <w:szCs w:val="21"/>
          <w:lang w:eastAsia="es-CL"/>
          <w14:ligatures w14:val="none"/>
        </w:rPr>
        <w:t>La distribuidora deberá determinar el monto de la garantía en base a la potencia requerida por el cliente, en conformidad con lo que indica el Artículo 137° del DS27.</w:t>
      </w:r>
    </w:p>
    <w:p w14:paraId="46434DB2" w14:textId="22954661" w:rsidR="00594F84" w:rsidRDefault="00594F84" w:rsidP="001B7DAD">
      <w:pPr>
        <w:spacing w:after="300" w:line="240" w:lineRule="auto"/>
        <w:ind w:left="709"/>
        <w:jc w:val="both"/>
        <w:rPr>
          <w:rFonts w:ascii="Arial" w:eastAsia="Times New Roman" w:hAnsi="Arial" w:cs="Arial"/>
          <w:color w:val="001689"/>
          <w:spacing w:val="3"/>
          <w:kern w:val="0"/>
          <w:sz w:val="21"/>
          <w:szCs w:val="21"/>
          <w:lang w:eastAsia="es-CL"/>
          <w14:ligatures w14:val="none"/>
        </w:rPr>
      </w:pPr>
      <w:r>
        <w:rPr>
          <w:rFonts w:ascii="Arial" w:eastAsia="Times New Roman" w:hAnsi="Arial" w:cs="Arial"/>
          <w:color w:val="001689"/>
          <w:spacing w:val="3"/>
          <w:kern w:val="0"/>
          <w:sz w:val="21"/>
          <w:szCs w:val="21"/>
          <w:lang w:eastAsia="es-CL"/>
          <w14:ligatures w14:val="none"/>
        </w:rPr>
        <w:t>Cuando la Distribuidora requiera de garantías se lo informará al Requirente en la Respuesta a la Solicitud de Conexión, donde también se adjuntará un documento denominado Anexo A Protocolo de Operación de caución de Potencia que debe ser completado y firmado por las partes.</w:t>
      </w:r>
    </w:p>
    <w:p w14:paraId="16F647B6" w14:textId="4D86063C" w:rsidR="00594F84" w:rsidRDefault="00594F84" w:rsidP="001B7DAD">
      <w:pPr>
        <w:spacing w:after="300" w:line="240" w:lineRule="auto"/>
        <w:ind w:left="709"/>
        <w:jc w:val="both"/>
        <w:rPr>
          <w:rFonts w:ascii="Arial" w:eastAsia="Times New Roman" w:hAnsi="Arial" w:cs="Arial"/>
          <w:color w:val="001689"/>
          <w:spacing w:val="3"/>
          <w:kern w:val="0"/>
          <w:sz w:val="21"/>
          <w:szCs w:val="21"/>
          <w:lang w:eastAsia="es-CL"/>
          <w14:ligatures w14:val="none"/>
        </w:rPr>
      </w:pPr>
      <w:r>
        <w:rPr>
          <w:rFonts w:ascii="Arial" w:eastAsia="Times New Roman" w:hAnsi="Arial" w:cs="Arial"/>
          <w:color w:val="001689"/>
          <w:spacing w:val="3"/>
          <w:kern w:val="0"/>
          <w:sz w:val="21"/>
          <w:szCs w:val="21"/>
          <w:lang w:eastAsia="es-CL"/>
          <w14:ligatures w14:val="none"/>
        </w:rPr>
        <w:t>Las obras financiadas por la Distribuidora y que se determine la exigencia de una caución de potencia, deberán contar con una garantía que tendrá una duración máxima de 8 años.</w:t>
      </w:r>
    </w:p>
    <w:p w14:paraId="78B00684" w14:textId="165A6C55" w:rsidR="00594F84" w:rsidRDefault="00594F84" w:rsidP="001B7DAD">
      <w:pPr>
        <w:spacing w:after="300" w:line="240" w:lineRule="auto"/>
        <w:ind w:left="709"/>
        <w:jc w:val="both"/>
        <w:rPr>
          <w:rFonts w:ascii="Arial" w:eastAsia="Times New Roman" w:hAnsi="Arial" w:cs="Arial"/>
          <w:color w:val="001689"/>
          <w:spacing w:val="3"/>
          <w:kern w:val="0"/>
          <w:sz w:val="21"/>
          <w:szCs w:val="21"/>
          <w:lang w:eastAsia="es-CL"/>
          <w14:ligatures w14:val="none"/>
        </w:rPr>
      </w:pPr>
      <w:r>
        <w:rPr>
          <w:rFonts w:ascii="Arial" w:eastAsia="Times New Roman" w:hAnsi="Arial" w:cs="Arial"/>
          <w:color w:val="001689"/>
          <w:spacing w:val="3"/>
          <w:kern w:val="0"/>
          <w:sz w:val="21"/>
          <w:szCs w:val="21"/>
          <w:lang w:eastAsia="es-CL"/>
          <w14:ligatures w14:val="none"/>
        </w:rPr>
        <w:t>La Distribuidora de manera anual, verificará si las obras caucionadas están siendo utilizadas por el Usuario, lo cual se calculará de la siguiente manera:</w:t>
      </w:r>
    </w:p>
    <w:p w14:paraId="1CAA511F" w14:textId="358476C8" w:rsidR="00594F84" w:rsidRDefault="00594F84" w:rsidP="001B7DAD">
      <w:pPr>
        <w:spacing w:after="300" w:line="240" w:lineRule="auto"/>
        <w:ind w:left="709"/>
        <w:jc w:val="both"/>
        <w:rPr>
          <w:rFonts w:ascii="Arial" w:eastAsia="Times New Roman" w:hAnsi="Arial" w:cs="Arial"/>
          <w:color w:val="001689"/>
          <w:spacing w:val="3"/>
          <w:kern w:val="0"/>
          <w:sz w:val="21"/>
          <w:szCs w:val="21"/>
          <w:lang w:eastAsia="es-CL"/>
          <w14:ligatures w14:val="none"/>
        </w:rPr>
      </w:pPr>
      <w:r>
        <w:rPr>
          <w:rFonts w:ascii="Arial" w:eastAsia="Times New Roman" w:hAnsi="Arial" w:cs="Arial"/>
          <w:color w:val="001689"/>
          <w:spacing w:val="3"/>
          <w:kern w:val="0"/>
          <w:sz w:val="21"/>
          <w:szCs w:val="21"/>
          <w:lang w:eastAsia="es-CL"/>
          <w14:ligatures w14:val="none"/>
        </w:rPr>
        <w:tab/>
      </w:r>
      <w:r>
        <w:rPr>
          <w:rFonts w:ascii="Arial" w:eastAsia="Times New Roman" w:hAnsi="Arial" w:cs="Arial"/>
          <w:color w:val="001689"/>
          <w:spacing w:val="3"/>
          <w:kern w:val="0"/>
          <w:sz w:val="21"/>
          <w:szCs w:val="21"/>
          <w:lang w:eastAsia="es-CL"/>
          <w14:ligatures w14:val="none"/>
        </w:rPr>
        <w:tab/>
      </w:r>
      <w:r w:rsidR="00C87348">
        <w:rPr>
          <w:noProof/>
        </w:rPr>
        <w:drawing>
          <wp:inline distT="0" distB="0" distL="0" distR="0" wp14:anchorId="3A9856C3" wp14:editId="014544D8">
            <wp:extent cx="1800476" cy="362001"/>
            <wp:effectExtent l="0" t="0" r="0" b="0"/>
            <wp:docPr id="2" name="Imagen 1">
              <a:extLst xmlns:a="http://schemas.openxmlformats.org/drawingml/2006/main">
                <a:ext uri="{FF2B5EF4-FFF2-40B4-BE49-F238E27FC236}">
                  <a16:creationId xmlns:a16="http://schemas.microsoft.com/office/drawing/2014/main" id="{A7E2B2D4-4E2F-7325-DD76-F6C60867B8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A7E2B2D4-4E2F-7325-DD76-F6C60867B89B}"/>
                        </a:ext>
                      </a:extLst>
                    </pic:cNvPr>
                    <pic:cNvPicPr>
                      <a:picLocks noChangeAspect="1"/>
                    </pic:cNvPicPr>
                  </pic:nvPicPr>
                  <pic:blipFill>
                    <a:blip r:embed="rId5"/>
                    <a:stretch>
                      <a:fillRect/>
                    </a:stretch>
                  </pic:blipFill>
                  <pic:spPr>
                    <a:xfrm>
                      <a:off x="0" y="0"/>
                      <a:ext cx="1800476" cy="362001"/>
                    </a:xfrm>
                    <a:prstGeom prst="rect">
                      <a:avLst/>
                    </a:prstGeom>
                  </pic:spPr>
                </pic:pic>
              </a:graphicData>
            </a:graphic>
          </wp:inline>
        </w:drawing>
      </w:r>
    </w:p>
    <w:p w14:paraId="10FD443E" w14:textId="3F12F3E8" w:rsidR="00C87348" w:rsidRDefault="00C87348" w:rsidP="001B7DAD">
      <w:pPr>
        <w:spacing w:after="300" w:line="240" w:lineRule="auto"/>
        <w:ind w:left="709"/>
        <w:jc w:val="both"/>
        <w:rPr>
          <w:rFonts w:ascii="Arial" w:eastAsia="Times New Roman" w:hAnsi="Arial" w:cs="Arial"/>
          <w:color w:val="001689"/>
          <w:spacing w:val="3"/>
          <w:kern w:val="0"/>
          <w:sz w:val="21"/>
          <w:szCs w:val="21"/>
          <w:lang w:eastAsia="es-CL"/>
          <w14:ligatures w14:val="none"/>
        </w:rPr>
      </w:pPr>
      <w:r>
        <w:rPr>
          <w:rFonts w:ascii="Arial" w:eastAsia="Times New Roman" w:hAnsi="Arial" w:cs="Arial"/>
          <w:color w:val="001689"/>
          <w:spacing w:val="3"/>
          <w:kern w:val="0"/>
          <w:sz w:val="21"/>
          <w:szCs w:val="21"/>
          <w:lang w:eastAsia="es-CL"/>
          <w14:ligatures w14:val="none"/>
        </w:rPr>
        <w:tab/>
        <w:t>Donde:</w:t>
      </w:r>
      <w:r w:rsidRPr="00C87348">
        <w:rPr>
          <w:rFonts w:ascii="Arial" w:eastAsia="Times New Roman" w:hAnsi="Arial" w:cs="Arial"/>
          <w:color w:val="001689"/>
          <w:spacing w:val="3"/>
          <w:kern w:val="0"/>
          <w:sz w:val="21"/>
          <w:szCs w:val="21"/>
          <w:lang w:eastAsia="es-CL"/>
          <w14:ligatures w14:val="none"/>
        </w:rPr>
        <w:t xml:space="preserve"> </w:t>
      </w:r>
    </w:p>
    <w:p w14:paraId="111914FC" w14:textId="763D2D14" w:rsidR="00C87348" w:rsidRDefault="00C87348" w:rsidP="001B7DAD">
      <w:pPr>
        <w:spacing w:after="300" w:line="240" w:lineRule="auto"/>
        <w:ind w:left="709"/>
        <w:jc w:val="both"/>
        <w:rPr>
          <w:rFonts w:ascii="Arial" w:eastAsia="Times New Roman" w:hAnsi="Arial" w:cs="Arial"/>
          <w:color w:val="001689"/>
          <w:spacing w:val="3"/>
          <w:kern w:val="0"/>
          <w:sz w:val="21"/>
          <w:szCs w:val="21"/>
          <w:lang w:eastAsia="es-CL"/>
          <w14:ligatures w14:val="none"/>
        </w:rPr>
      </w:pPr>
      <w:r>
        <w:rPr>
          <w:rFonts w:ascii="Arial" w:eastAsia="Times New Roman" w:hAnsi="Arial" w:cs="Arial"/>
          <w:color w:val="001689"/>
          <w:spacing w:val="3"/>
          <w:kern w:val="0"/>
          <w:sz w:val="21"/>
          <w:szCs w:val="21"/>
          <w:lang w:eastAsia="es-CL"/>
          <w14:ligatures w14:val="none"/>
        </w:rPr>
        <w:tab/>
      </w:r>
      <w:r>
        <w:rPr>
          <w:rFonts w:ascii="Arial" w:eastAsia="Times New Roman" w:hAnsi="Arial" w:cs="Arial"/>
          <w:color w:val="001689"/>
          <w:spacing w:val="3"/>
          <w:kern w:val="0"/>
          <w:sz w:val="21"/>
          <w:szCs w:val="21"/>
          <w:lang w:eastAsia="es-CL"/>
          <w14:ligatures w14:val="none"/>
        </w:rPr>
        <w:tab/>
      </w:r>
      <w:r w:rsidRPr="00C87348">
        <w:rPr>
          <w:rFonts w:ascii="Arial" w:eastAsia="Times New Roman" w:hAnsi="Arial" w:cs="Arial"/>
          <w:noProof/>
          <w:color w:val="001689"/>
          <w:spacing w:val="3"/>
          <w:kern w:val="0"/>
          <w:sz w:val="21"/>
          <w:szCs w:val="21"/>
          <w:lang w:eastAsia="es-CL"/>
          <w14:ligatures w14:val="none"/>
        </w:rPr>
        <w:drawing>
          <wp:inline distT="0" distB="0" distL="0" distR="0" wp14:anchorId="5D97B997" wp14:editId="20B7AB33">
            <wp:extent cx="4067743" cy="790685"/>
            <wp:effectExtent l="0" t="0" r="9525" b="9525"/>
            <wp:docPr id="21466665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666533" name=""/>
                    <pic:cNvPicPr/>
                  </pic:nvPicPr>
                  <pic:blipFill>
                    <a:blip r:embed="rId6"/>
                    <a:stretch>
                      <a:fillRect/>
                    </a:stretch>
                  </pic:blipFill>
                  <pic:spPr>
                    <a:xfrm>
                      <a:off x="0" y="0"/>
                      <a:ext cx="4067743" cy="790685"/>
                    </a:xfrm>
                    <a:prstGeom prst="rect">
                      <a:avLst/>
                    </a:prstGeom>
                  </pic:spPr>
                </pic:pic>
              </a:graphicData>
            </a:graphic>
          </wp:inline>
        </w:drawing>
      </w:r>
    </w:p>
    <w:p w14:paraId="08DB52EB" w14:textId="7AEA9064" w:rsidR="00C87348" w:rsidRDefault="00C87348" w:rsidP="00C87348">
      <w:pPr>
        <w:spacing w:after="300" w:line="240" w:lineRule="auto"/>
        <w:ind w:left="1134"/>
        <w:jc w:val="both"/>
        <w:rPr>
          <w:rFonts w:ascii="Arial" w:eastAsia="Times New Roman" w:hAnsi="Arial" w:cs="Arial"/>
          <w:color w:val="001689"/>
          <w:spacing w:val="3"/>
          <w:kern w:val="0"/>
          <w:sz w:val="21"/>
          <w:szCs w:val="21"/>
          <w:lang w:eastAsia="es-CL"/>
          <w14:ligatures w14:val="none"/>
        </w:rPr>
      </w:pPr>
      <w:r>
        <w:rPr>
          <w:rFonts w:ascii="Arial" w:eastAsia="Times New Roman" w:hAnsi="Arial" w:cs="Arial"/>
          <w:color w:val="001689"/>
          <w:spacing w:val="3"/>
          <w:kern w:val="0"/>
          <w:sz w:val="21"/>
          <w:szCs w:val="21"/>
          <w:lang w:eastAsia="es-CL"/>
          <w14:ligatures w14:val="none"/>
        </w:rPr>
        <w:t>Si la potencia caucionada (UPC) es igual o superior al 80%, la Distribuidora deberá reintegrar un octavo de la garantía inicial al Usuario. En caso contrario, la Distribuidora deberá cobrar la garantía en la misma proporción, es decir un octavo de la garantía inicial.</w:t>
      </w:r>
    </w:p>
    <w:p w14:paraId="398DD665" w14:textId="3BFB6EB6" w:rsidR="00C87348" w:rsidRDefault="00C87348" w:rsidP="00C87348">
      <w:pPr>
        <w:spacing w:after="300" w:line="240" w:lineRule="auto"/>
        <w:ind w:left="1134"/>
        <w:jc w:val="both"/>
        <w:rPr>
          <w:rFonts w:ascii="Arial" w:eastAsia="Times New Roman" w:hAnsi="Arial" w:cs="Arial"/>
          <w:color w:val="001689"/>
          <w:spacing w:val="3"/>
          <w:kern w:val="0"/>
          <w:sz w:val="21"/>
          <w:szCs w:val="21"/>
          <w:lang w:eastAsia="es-CL"/>
          <w14:ligatures w14:val="none"/>
        </w:rPr>
      </w:pPr>
      <w:r>
        <w:rPr>
          <w:rFonts w:ascii="Arial" w:eastAsia="Times New Roman" w:hAnsi="Arial" w:cs="Arial"/>
          <w:color w:val="001689"/>
          <w:spacing w:val="3"/>
          <w:kern w:val="0"/>
          <w:sz w:val="21"/>
          <w:szCs w:val="21"/>
          <w:lang w:eastAsia="es-CL"/>
          <w14:ligatures w14:val="none"/>
        </w:rPr>
        <w:t xml:space="preserve">CGE ha determinado que el mecanismo para garantizar esta caución de potencia es mediante boletas de garantía bancarias, las cuales </w:t>
      </w:r>
      <w:r w:rsidR="00940144">
        <w:rPr>
          <w:rFonts w:ascii="Arial" w:eastAsia="Times New Roman" w:hAnsi="Arial" w:cs="Arial"/>
          <w:color w:val="001689"/>
          <w:spacing w:val="3"/>
          <w:kern w:val="0"/>
          <w:sz w:val="21"/>
          <w:szCs w:val="21"/>
          <w:lang w:eastAsia="es-CL"/>
          <w14:ligatures w14:val="none"/>
        </w:rPr>
        <w:t xml:space="preserve">se van renovando por montos escalonados según transcurren los 8 años. </w:t>
      </w:r>
      <w:r w:rsidR="0074011C">
        <w:rPr>
          <w:rFonts w:ascii="Arial" w:eastAsia="Times New Roman" w:hAnsi="Arial" w:cs="Arial"/>
          <w:color w:val="001689"/>
          <w:spacing w:val="3"/>
          <w:kern w:val="0"/>
          <w:sz w:val="21"/>
          <w:szCs w:val="21"/>
          <w:lang w:eastAsia="es-CL"/>
          <w14:ligatures w14:val="none"/>
        </w:rPr>
        <w:t>Estas boletas deben</w:t>
      </w:r>
      <w:r w:rsidR="00940144">
        <w:rPr>
          <w:rFonts w:ascii="Arial" w:eastAsia="Times New Roman" w:hAnsi="Arial" w:cs="Arial"/>
          <w:color w:val="001689"/>
          <w:spacing w:val="3"/>
          <w:kern w:val="0"/>
          <w:sz w:val="21"/>
          <w:szCs w:val="21"/>
          <w:lang w:eastAsia="es-CL"/>
          <w14:ligatures w14:val="none"/>
        </w:rPr>
        <w:t xml:space="preserve"> ser renovadas dentro del plazo de vigencia de la boleta del período.</w:t>
      </w:r>
    </w:p>
    <w:p w14:paraId="11AD8BAF" w14:textId="0578DDA2" w:rsidR="001B7DAD" w:rsidRDefault="001B7DAD" w:rsidP="00C87348">
      <w:pPr>
        <w:spacing w:after="300" w:line="240" w:lineRule="auto"/>
        <w:ind w:left="1134"/>
        <w:jc w:val="both"/>
        <w:rPr>
          <w:rFonts w:ascii="Arial" w:eastAsia="Times New Roman" w:hAnsi="Arial" w:cs="Arial"/>
          <w:color w:val="001689"/>
          <w:spacing w:val="3"/>
          <w:kern w:val="0"/>
          <w:sz w:val="21"/>
          <w:szCs w:val="21"/>
          <w:lang w:eastAsia="es-CL"/>
          <w14:ligatures w14:val="none"/>
        </w:rPr>
      </w:pPr>
      <w:r>
        <w:rPr>
          <w:rFonts w:ascii="Arial" w:eastAsia="Times New Roman" w:hAnsi="Arial" w:cs="Arial"/>
          <w:color w:val="001689"/>
          <w:spacing w:val="3"/>
          <w:kern w:val="0"/>
          <w:sz w:val="21"/>
          <w:szCs w:val="21"/>
          <w:lang w:eastAsia="es-CL"/>
          <w14:ligatures w14:val="none"/>
        </w:rPr>
        <w:lastRenderedPageBreak/>
        <w:t xml:space="preserve">Se refiere a la conexión simultánea de varios suministros, como es el caso de condominios, conjuntos habitacionales, parcelaciones, centros comerciales, edificios de departamentos, oficinas o mixtos. </w:t>
      </w:r>
    </w:p>
    <w:p w14:paraId="49D47245" w14:textId="4C3FB441" w:rsidR="001B7DAD" w:rsidRDefault="00940144" w:rsidP="001B7DAD">
      <w:pPr>
        <w:spacing w:after="300" w:line="240" w:lineRule="auto"/>
        <w:ind w:left="709"/>
        <w:jc w:val="both"/>
        <w:rPr>
          <w:rFonts w:ascii="Arial" w:eastAsia="Times New Roman" w:hAnsi="Arial" w:cs="Arial"/>
          <w:color w:val="001689"/>
          <w:spacing w:val="3"/>
          <w:kern w:val="0"/>
          <w:sz w:val="21"/>
          <w:szCs w:val="21"/>
          <w:lang w:eastAsia="es-CL"/>
          <w14:ligatures w14:val="none"/>
        </w:rPr>
      </w:pPr>
      <w:r>
        <w:rPr>
          <w:rFonts w:ascii="Arial" w:eastAsia="Times New Roman" w:hAnsi="Arial" w:cs="Arial"/>
          <w:color w:val="001689"/>
          <w:spacing w:val="3"/>
          <w:kern w:val="0"/>
          <w:sz w:val="21"/>
          <w:szCs w:val="21"/>
          <w:lang w:eastAsia="es-CL"/>
          <w14:ligatures w14:val="none"/>
        </w:rPr>
        <w:t xml:space="preserve">El comprobante de la recepción de la primera boleta de garantía, que corresponde al monto total y con vigencia de 18 meses, será respaldo suficiente para permitir el </w:t>
      </w:r>
      <w:r w:rsidR="00E52B91">
        <w:rPr>
          <w:rFonts w:ascii="Arial" w:eastAsia="Times New Roman" w:hAnsi="Arial" w:cs="Arial"/>
          <w:color w:val="001689"/>
          <w:spacing w:val="3"/>
          <w:kern w:val="0"/>
          <w:sz w:val="21"/>
          <w:szCs w:val="21"/>
          <w:lang w:eastAsia="es-CL"/>
          <w14:ligatures w14:val="none"/>
        </w:rPr>
        <w:t>inicio adelantado</w:t>
      </w:r>
      <w:r>
        <w:rPr>
          <w:rFonts w:ascii="Arial" w:eastAsia="Times New Roman" w:hAnsi="Arial" w:cs="Arial"/>
          <w:color w:val="001689"/>
          <w:spacing w:val="3"/>
          <w:kern w:val="0"/>
          <w:sz w:val="21"/>
          <w:szCs w:val="21"/>
          <w:lang w:eastAsia="es-CL"/>
          <w14:ligatures w14:val="none"/>
        </w:rPr>
        <w:t xml:space="preserve"> de las obras de inversión necesarias para la conexión del servicio.</w:t>
      </w:r>
    </w:p>
    <w:sectPr w:rsidR="001B7DA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605F3"/>
    <w:multiLevelType w:val="hybridMultilevel"/>
    <w:tmpl w:val="D74AAF56"/>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12754610"/>
    <w:multiLevelType w:val="multilevel"/>
    <w:tmpl w:val="52B41C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C6414C"/>
    <w:multiLevelType w:val="hybridMultilevel"/>
    <w:tmpl w:val="7F7A099E"/>
    <w:lvl w:ilvl="0" w:tplc="340A0013">
      <w:start w:val="1"/>
      <w:numFmt w:val="upperRoman"/>
      <w:lvlText w:val="%1."/>
      <w:lvlJc w:val="right"/>
      <w:pPr>
        <w:ind w:left="1500" w:hanging="360"/>
      </w:pPr>
    </w:lvl>
    <w:lvl w:ilvl="1" w:tplc="340A0019" w:tentative="1">
      <w:start w:val="1"/>
      <w:numFmt w:val="lowerLetter"/>
      <w:lvlText w:val="%2."/>
      <w:lvlJc w:val="left"/>
      <w:pPr>
        <w:ind w:left="2220" w:hanging="360"/>
      </w:pPr>
    </w:lvl>
    <w:lvl w:ilvl="2" w:tplc="340A001B" w:tentative="1">
      <w:start w:val="1"/>
      <w:numFmt w:val="lowerRoman"/>
      <w:lvlText w:val="%3."/>
      <w:lvlJc w:val="right"/>
      <w:pPr>
        <w:ind w:left="2940" w:hanging="180"/>
      </w:pPr>
    </w:lvl>
    <w:lvl w:ilvl="3" w:tplc="340A000F" w:tentative="1">
      <w:start w:val="1"/>
      <w:numFmt w:val="decimal"/>
      <w:lvlText w:val="%4."/>
      <w:lvlJc w:val="left"/>
      <w:pPr>
        <w:ind w:left="3660" w:hanging="360"/>
      </w:pPr>
    </w:lvl>
    <w:lvl w:ilvl="4" w:tplc="340A0019" w:tentative="1">
      <w:start w:val="1"/>
      <w:numFmt w:val="lowerLetter"/>
      <w:lvlText w:val="%5."/>
      <w:lvlJc w:val="left"/>
      <w:pPr>
        <w:ind w:left="4380" w:hanging="360"/>
      </w:pPr>
    </w:lvl>
    <w:lvl w:ilvl="5" w:tplc="340A001B" w:tentative="1">
      <w:start w:val="1"/>
      <w:numFmt w:val="lowerRoman"/>
      <w:lvlText w:val="%6."/>
      <w:lvlJc w:val="right"/>
      <w:pPr>
        <w:ind w:left="5100" w:hanging="180"/>
      </w:pPr>
    </w:lvl>
    <w:lvl w:ilvl="6" w:tplc="340A000F" w:tentative="1">
      <w:start w:val="1"/>
      <w:numFmt w:val="decimal"/>
      <w:lvlText w:val="%7."/>
      <w:lvlJc w:val="left"/>
      <w:pPr>
        <w:ind w:left="5820" w:hanging="360"/>
      </w:pPr>
    </w:lvl>
    <w:lvl w:ilvl="7" w:tplc="340A0019" w:tentative="1">
      <w:start w:val="1"/>
      <w:numFmt w:val="lowerLetter"/>
      <w:lvlText w:val="%8."/>
      <w:lvlJc w:val="left"/>
      <w:pPr>
        <w:ind w:left="6540" w:hanging="360"/>
      </w:pPr>
    </w:lvl>
    <w:lvl w:ilvl="8" w:tplc="340A001B" w:tentative="1">
      <w:start w:val="1"/>
      <w:numFmt w:val="lowerRoman"/>
      <w:lvlText w:val="%9."/>
      <w:lvlJc w:val="right"/>
      <w:pPr>
        <w:ind w:left="7260" w:hanging="180"/>
      </w:pPr>
    </w:lvl>
  </w:abstractNum>
  <w:abstractNum w:abstractNumId="3" w15:restartNumberingAfterBreak="0">
    <w:nsid w:val="4C784B34"/>
    <w:multiLevelType w:val="hybridMultilevel"/>
    <w:tmpl w:val="AFCA6D72"/>
    <w:lvl w:ilvl="0" w:tplc="B76AFA42">
      <w:start w:val="9"/>
      <w:numFmt w:val="bullet"/>
      <w:lvlText w:val="-"/>
      <w:lvlJc w:val="left"/>
      <w:pPr>
        <w:ind w:left="2160" w:hanging="360"/>
      </w:pPr>
      <w:rPr>
        <w:rFonts w:ascii="Arial Black" w:eastAsiaTheme="minorHAnsi" w:hAnsi="Arial Black" w:cstheme="minorBidi" w:hint="default"/>
        <w:color w:val="074F6A" w:themeColor="accent4" w:themeShade="80"/>
      </w:rPr>
    </w:lvl>
    <w:lvl w:ilvl="1" w:tplc="340A0003" w:tentative="1">
      <w:start w:val="1"/>
      <w:numFmt w:val="bullet"/>
      <w:lvlText w:val="o"/>
      <w:lvlJc w:val="left"/>
      <w:pPr>
        <w:ind w:left="2880" w:hanging="360"/>
      </w:pPr>
      <w:rPr>
        <w:rFonts w:ascii="Courier New" w:hAnsi="Courier New" w:cs="Courier New" w:hint="default"/>
      </w:rPr>
    </w:lvl>
    <w:lvl w:ilvl="2" w:tplc="340A0005" w:tentative="1">
      <w:start w:val="1"/>
      <w:numFmt w:val="bullet"/>
      <w:lvlText w:val=""/>
      <w:lvlJc w:val="left"/>
      <w:pPr>
        <w:ind w:left="3600" w:hanging="360"/>
      </w:pPr>
      <w:rPr>
        <w:rFonts w:ascii="Wingdings" w:hAnsi="Wingdings" w:hint="default"/>
      </w:rPr>
    </w:lvl>
    <w:lvl w:ilvl="3" w:tplc="340A0001" w:tentative="1">
      <w:start w:val="1"/>
      <w:numFmt w:val="bullet"/>
      <w:lvlText w:val=""/>
      <w:lvlJc w:val="left"/>
      <w:pPr>
        <w:ind w:left="4320" w:hanging="360"/>
      </w:pPr>
      <w:rPr>
        <w:rFonts w:ascii="Symbol" w:hAnsi="Symbol" w:hint="default"/>
      </w:rPr>
    </w:lvl>
    <w:lvl w:ilvl="4" w:tplc="340A0003" w:tentative="1">
      <w:start w:val="1"/>
      <w:numFmt w:val="bullet"/>
      <w:lvlText w:val="o"/>
      <w:lvlJc w:val="left"/>
      <w:pPr>
        <w:ind w:left="5040" w:hanging="360"/>
      </w:pPr>
      <w:rPr>
        <w:rFonts w:ascii="Courier New" w:hAnsi="Courier New" w:cs="Courier New" w:hint="default"/>
      </w:rPr>
    </w:lvl>
    <w:lvl w:ilvl="5" w:tplc="340A0005" w:tentative="1">
      <w:start w:val="1"/>
      <w:numFmt w:val="bullet"/>
      <w:lvlText w:val=""/>
      <w:lvlJc w:val="left"/>
      <w:pPr>
        <w:ind w:left="5760" w:hanging="360"/>
      </w:pPr>
      <w:rPr>
        <w:rFonts w:ascii="Wingdings" w:hAnsi="Wingdings" w:hint="default"/>
      </w:rPr>
    </w:lvl>
    <w:lvl w:ilvl="6" w:tplc="340A0001" w:tentative="1">
      <w:start w:val="1"/>
      <w:numFmt w:val="bullet"/>
      <w:lvlText w:val=""/>
      <w:lvlJc w:val="left"/>
      <w:pPr>
        <w:ind w:left="6480" w:hanging="360"/>
      </w:pPr>
      <w:rPr>
        <w:rFonts w:ascii="Symbol" w:hAnsi="Symbol" w:hint="default"/>
      </w:rPr>
    </w:lvl>
    <w:lvl w:ilvl="7" w:tplc="340A0003" w:tentative="1">
      <w:start w:val="1"/>
      <w:numFmt w:val="bullet"/>
      <w:lvlText w:val="o"/>
      <w:lvlJc w:val="left"/>
      <w:pPr>
        <w:ind w:left="7200" w:hanging="360"/>
      </w:pPr>
      <w:rPr>
        <w:rFonts w:ascii="Courier New" w:hAnsi="Courier New" w:cs="Courier New" w:hint="default"/>
      </w:rPr>
    </w:lvl>
    <w:lvl w:ilvl="8" w:tplc="340A0005" w:tentative="1">
      <w:start w:val="1"/>
      <w:numFmt w:val="bullet"/>
      <w:lvlText w:val=""/>
      <w:lvlJc w:val="left"/>
      <w:pPr>
        <w:ind w:left="7920" w:hanging="360"/>
      </w:pPr>
      <w:rPr>
        <w:rFonts w:ascii="Wingdings" w:hAnsi="Wingdings" w:hint="default"/>
      </w:rPr>
    </w:lvl>
  </w:abstractNum>
  <w:abstractNum w:abstractNumId="4" w15:restartNumberingAfterBreak="0">
    <w:nsid w:val="530372E5"/>
    <w:multiLevelType w:val="multilevel"/>
    <w:tmpl w:val="F99C7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5E3F8C"/>
    <w:multiLevelType w:val="hybridMultilevel"/>
    <w:tmpl w:val="3580BCB8"/>
    <w:lvl w:ilvl="0" w:tplc="340A0003">
      <w:start w:val="1"/>
      <w:numFmt w:val="bullet"/>
      <w:lvlText w:val="o"/>
      <w:lvlJc w:val="left"/>
      <w:pPr>
        <w:ind w:left="1440" w:hanging="360"/>
      </w:pPr>
      <w:rPr>
        <w:rFonts w:ascii="Courier New" w:hAnsi="Courier New" w:cs="Courier New" w:hint="default"/>
      </w:rPr>
    </w:lvl>
    <w:lvl w:ilvl="1" w:tplc="340A0003" w:tentative="1">
      <w:start w:val="1"/>
      <w:numFmt w:val="bullet"/>
      <w:lvlText w:val="o"/>
      <w:lvlJc w:val="left"/>
      <w:pPr>
        <w:ind w:left="2160" w:hanging="360"/>
      </w:pPr>
      <w:rPr>
        <w:rFonts w:ascii="Courier New" w:hAnsi="Courier New" w:cs="Courier New" w:hint="default"/>
      </w:rPr>
    </w:lvl>
    <w:lvl w:ilvl="2" w:tplc="340A0005" w:tentative="1">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abstractNum w:abstractNumId="6" w15:restartNumberingAfterBreak="0">
    <w:nsid w:val="73ED2D79"/>
    <w:multiLevelType w:val="multilevel"/>
    <w:tmpl w:val="4B8A4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1451197">
    <w:abstractNumId w:val="1"/>
  </w:num>
  <w:num w:numId="2" w16cid:durableId="852886199">
    <w:abstractNumId w:val="6"/>
  </w:num>
  <w:num w:numId="3" w16cid:durableId="908882534">
    <w:abstractNumId w:val="4"/>
  </w:num>
  <w:num w:numId="4" w16cid:durableId="1939171482">
    <w:abstractNumId w:val="2"/>
  </w:num>
  <w:num w:numId="5" w16cid:durableId="1551307483">
    <w:abstractNumId w:val="0"/>
  </w:num>
  <w:num w:numId="6" w16cid:durableId="191917199">
    <w:abstractNumId w:val="5"/>
  </w:num>
  <w:num w:numId="7" w16cid:durableId="2455055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C87"/>
    <w:rsid w:val="00010E29"/>
    <w:rsid w:val="00071C87"/>
    <w:rsid w:val="00087EDB"/>
    <w:rsid w:val="000A1987"/>
    <w:rsid w:val="001B7DAD"/>
    <w:rsid w:val="001E1699"/>
    <w:rsid w:val="00215FD8"/>
    <w:rsid w:val="003739AD"/>
    <w:rsid w:val="003B5D43"/>
    <w:rsid w:val="004523DC"/>
    <w:rsid w:val="00490EBD"/>
    <w:rsid w:val="00563FCE"/>
    <w:rsid w:val="00594F84"/>
    <w:rsid w:val="0074011C"/>
    <w:rsid w:val="00801F0D"/>
    <w:rsid w:val="00883610"/>
    <w:rsid w:val="00940144"/>
    <w:rsid w:val="00967BF7"/>
    <w:rsid w:val="009904CA"/>
    <w:rsid w:val="00996968"/>
    <w:rsid w:val="009E0C41"/>
    <w:rsid w:val="009F1645"/>
    <w:rsid w:val="00A83479"/>
    <w:rsid w:val="00BF5F5A"/>
    <w:rsid w:val="00BF6A15"/>
    <w:rsid w:val="00C13C03"/>
    <w:rsid w:val="00C35B2C"/>
    <w:rsid w:val="00C531E2"/>
    <w:rsid w:val="00C56B99"/>
    <w:rsid w:val="00C87348"/>
    <w:rsid w:val="00DE0176"/>
    <w:rsid w:val="00E100FF"/>
    <w:rsid w:val="00E273A4"/>
    <w:rsid w:val="00E52B91"/>
    <w:rsid w:val="00E65F8A"/>
    <w:rsid w:val="00EC0530"/>
    <w:rsid w:val="00F43A6B"/>
    <w:rsid w:val="00F75F6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1BFCF"/>
  <w15:chartTrackingRefBased/>
  <w15:docId w15:val="{98854289-906A-480B-B469-FC0E6C505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5D4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E16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8215309">
      <w:bodyDiv w:val="1"/>
      <w:marLeft w:val="0"/>
      <w:marRight w:val="0"/>
      <w:marTop w:val="0"/>
      <w:marBottom w:val="0"/>
      <w:divBdr>
        <w:top w:val="none" w:sz="0" w:space="0" w:color="auto"/>
        <w:left w:val="none" w:sz="0" w:space="0" w:color="auto"/>
        <w:bottom w:val="none" w:sz="0" w:space="0" w:color="auto"/>
        <w:right w:val="none" w:sz="0" w:space="0" w:color="auto"/>
      </w:divBdr>
      <w:divsChild>
        <w:div w:id="74321309">
          <w:marLeft w:val="0"/>
          <w:marRight w:val="0"/>
          <w:marTop w:val="101"/>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340</Words>
  <Characters>1871</Characters>
  <Application>Microsoft Office Word</Application>
  <DocSecurity>0</DocSecurity>
  <Lines>15</Lines>
  <Paragraphs>4</Paragraphs>
  <ScaleCrop>false</ScaleCrop>
  <HeadingPairs>
    <vt:vector size="4" baseType="variant">
      <vt:variant>
        <vt:lpstr>Título</vt:lpstr>
      </vt:variant>
      <vt:variant>
        <vt:i4>1</vt:i4>
      </vt:variant>
      <vt:variant>
        <vt:lpstr>Títulos</vt:lpstr>
      </vt:variant>
      <vt:variant>
        <vt:i4>3</vt:i4>
      </vt:variant>
    </vt:vector>
  </HeadingPairs>
  <TitlesOfParts>
    <vt:vector size="4" baseType="lpstr">
      <vt:lpstr/>
      <vt:lpstr>    Aspectos Generales</vt:lpstr>
      <vt:lpstr>    </vt:lpstr>
      <vt:lpstr>    </vt:lpstr>
    </vt:vector>
  </TitlesOfParts>
  <Company/>
  <LinksUpToDate>false</LinksUpToDate>
  <CharactersWithSpaces>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Mauricio Daniel Cerda Benecett</dc:creator>
  <cp:keywords/>
  <dc:description/>
  <cp:lastModifiedBy>Mauricio Daniel Cerda Benecett</cp:lastModifiedBy>
  <cp:revision>2</cp:revision>
  <cp:lastPrinted>2025-11-05T13:01:00Z</cp:lastPrinted>
  <dcterms:created xsi:type="dcterms:W3CDTF">2025-11-07T01:04:00Z</dcterms:created>
  <dcterms:modified xsi:type="dcterms:W3CDTF">2025-11-07T01:04:00Z</dcterms:modified>
</cp:coreProperties>
</file>