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25782" w14:textId="0B23391E" w:rsidR="00071C87" w:rsidRDefault="009F1645" w:rsidP="009F1645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1689"/>
          <w:spacing w:val="-5"/>
          <w:kern w:val="0"/>
          <w:sz w:val="33"/>
          <w:szCs w:val="33"/>
          <w:lang w:eastAsia="es-CL"/>
          <w14:ligatures w14:val="none"/>
        </w:rPr>
      </w:pPr>
      <w:bookmarkStart w:id="0" w:name="_Hlk213341165"/>
      <w:r w:rsidRPr="009F1645">
        <w:rPr>
          <w:rFonts w:ascii="Arial" w:eastAsia="Times New Roman" w:hAnsi="Arial" w:cs="Arial"/>
          <w:b/>
          <w:bCs/>
          <w:color w:val="001689"/>
          <w:spacing w:val="-5"/>
          <w:kern w:val="0"/>
          <w:sz w:val="33"/>
          <w:szCs w:val="33"/>
          <w:lang w:eastAsia="es-CL"/>
          <w14:ligatures w14:val="none"/>
        </w:rPr>
        <w:t>Norma Técnica de Calidad de Servicio para Sistemas de Distribución</w:t>
      </w:r>
    </w:p>
    <w:p w14:paraId="6A067C20" w14:textId="77777777" w:rsidR="009F1645" w:rsidRPr="009F1645" w:rsidRDefault="009F1645" w:rsidP="009F1645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1689"/>
          <w:spacing w:val="-5"/>
          <w:kern w:val="0"/>
          <w:sz w:val="33"/>
          <w:szCs w:val="33"/>
          <w:lang w:eastAsia="es-CL"/>
          <w14:ligatures w14:val="none"/>
        </w:rPr>
      </w:pPr>
    </w:p>
    <w:p w14:paraId="4B57401D" w14:textId="361EAAC8" w:rsidR="00071C87" w:rsidRDefault="009F1645" w:rsidP="00071C87">
      <w:pPr>
        <w:spacing w:after="0" w:line="240" w:lineRule="auto"/>
        <w:jc w:val="both"/>
        <w:outlineLvl w:val="1"/>
        <w:rPr>
          <w:rFonts w:ascii="Arial" w:eastAsia="Times New Roman" w:hAnsi="Arial" w:cs="Arial"/>
          <w:color w:val="001689"/>
          <w:spacing w:val="-5"/>
          <w:kern w:val="0"/>
          <w:sz w:val="33"/>
          <w:szCs w:val="33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-5"/>
          <w:kern w:val="0"/>
          <w:sz w:val="33"/>
          <w:szCs w:val="33"/>
          <w:lang w:eastAsia="es-CL"/>
          <w14:ligatures w14:val="none"/>
        </w:rPr>
        <w:t>Título 5-1 Conexión o Ampliación de Servicios</w:t>
      </w:r>
    </w:p>
    <w:p w14:paraId="519E467E" w14:textId="77777777" w:rsidR="00071C87" w:rsidRPr="00071C87" w:rsidRDefault="00071C87" w:rsidP="00071C87">
      <w:pPr>
        <w:spacing w:after="0" w:line="240" w:lineRule="auto"/>
        <w:jc w:val="both"/>
        <w:outlineLvl w:val="1"/>
        <w:rPr>
          <w:rFonts w:ascii="Arial" w:eastAsia="Times New Roman" w:hAnsi="Arial" w:cs="Arial"/>
          <w:color w:val="001689"/>
          <w:spacing w:val="-5"/>
          <w:kern w:val="0"/>
          <w:sz w:val="33"/>
          <w:szCs w:val="33"/>
          <w:lang w:eastAsia="es-CL"/>
          <w14:ligatures w14:val="none"/>
        </w:rPr>
      </w:pPr>
    </w:p>
    <w:p w14:paraId="22868115" w14:textId="05E2F1D2" w:rsidR="00071C87" w:rsidRDefault="00071C87" w:rsidP="00071C87">
      <w:pPr>
        <w:spacing w:after="300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En 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noviembre de 2025 entró en vigencia la Norma Técnica de Calidad de </w:t>
      </w:r>
      <w:r w:rsidR="00967BF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Servicio </w:t>
      </w:r>
      <w:r w:rsidR="00967BF7"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para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Distribución publicada en mayo 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de 2024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por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la Comisión Nacional de Energía (CNE)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 Esta norma estableció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nuevas exigencias y estándares en cuanto a la Calidad de Servicio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</w:t>
      </w:r>
      <w:r w:rsidR="00967BF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que deben cumplir las E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mpresas </w:t>
      </w:r>
      <w:r w:rsidR="00967BF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D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istribuidoras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</w:p>
    <w:p w14:paraId="3C03EDAB" w14:textId="10E3457E" w:rsidR="00071C87" w:rsidRDefault="00071C87" w:rsidP="00071C87">
      <w:pPr>
        <w:spacing w:after="300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De esta manera, </w:t>
      </w:r>
      <w:r w:rsidR="00967BF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en lo que se refiere a los procesos asociados a Conexión o Ampliación de servicios, 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la Norma Técnica </w:t>
      </w:r>
      <w:r w:rsidR="00967BF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instruye sobre las etapas, antecedentes y plazos que deben cumplirse, los cuales detallamos a continuación: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</w:t>
      </w:r>
    </w:p>
    <w:p w14:paraId="7DC191FC" w14:textId="3DD58273" w:rsidR="00071C87" w:rsidRPr="00071C87" w:rsidRDefault="00E273A4" w:rsidP="00071C87">
      <w:pPr>
        <w:spacing w:after="300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bookmarkStart w:id="1" w:name="_Hlk213237023"/>
      <w:bookmarkEnd w:id="0"/>
      <w:r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>Procedimiento</w:t>
      </w:r>
      <w:r w:rsidR="00071C87" w:rsidRPr="00071C87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 la </w:t>
      </w:r>
      <w:r w:rsidR="00883610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>C</w:t>
      </w:r>
      <w:r w:rsidR="00071C87" w:rsidRPr="00071C87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onexión y </w:t>
      </w:r>
      <w:r w:rsidR="00883610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>A</w:t>
      </w:r>
      <w:r w:rsidR="00071C87" w:rsidRPr="00071C87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mpliación de </w:t>
      </w:r>
      <w:r w:rsidR="00883610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>S</w:t>
      </w:r>
      <w:r w:rsidR="00071C87" w:rsidRPr="00071C87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ervicios </w:t>
      </w:r>
      <w:r w:rsidR="00883610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>Individuales</w:t>
      </w:r>
    </w:p>
    <w:p w14:paraId="23185BA8" w14:textId="73433136" w:rsidR="00996968" w:rsidRDefault="00996968" w:rsidP="00071C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967BF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>Solicitud de Factibilidad Técnica de Suministro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</w:p>
    <w:p w14:paraId="71B9D2D2" w14:textId="77777777" w:rsidR="00996968" w:rsidRDefault="00071C87" w:rsidP="00996968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Dentro de los </w:t>
      </w:r>
      <w:r w:rsidR="00996968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5</w:t>
      </w:r>
      <w:r w:rsidRPr="00071C87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 xml:space="preserve"> días hábiles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 siguientes a la recepción de la solicitud, la Empresa Distribuidora</w:t>
      </w:r>
      <w:r w:rsidR="00996968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deberá </w:t>
      </w:r>
      <w:r w:rsidR="00996968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efectuar un análisis de admisibilidad y completitud de la solicitud.</w:t>
      </w:r>
    </w:p>
    <w:p w14:paraId="6D0D7357" w14:textId="515B4984" w:rsidR="00996968" w:rsidRDefault="00996968" w:rsidP="00996968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En caso de el Requirente ingrese una nueva solicitud, la Distribuidora no podrá rechazarla por razones que no le hayan sido notificadas en la solicitud anterior.</w:t>
      </w:r>
    </w:p>
    <w:p w14:paraId="273606EF" w14:textId="77777777" w:rsidR="00996968" w:rsidRDefault="00996968" w:rsidP="00996968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De no existir observaciones a la solicitud, la Distribuidora dispondrá de los siguientes plazos contados desde el ingreso de la solicitud para responder:</w:t>
      </w:r>
    </w:p>
    <w:p w14:paraId="1AFDB22E" w14:textId="4A278742" w:rsidR="00996968" w:rsidRDefault="00996968" w:rsidP="00996968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8</w:t>
      </w:r>
      <w:r w:rsidRPr="00071C87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 xml:space="preserve">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, para un par comuna-empresa de densidad alta o </w:t>
      </w:r>
      <w:r w:rsidR="00883610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medi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a.</w:t>
      </w:r>
    </w:p>
    <w:p w14:paraId="328DA038" w14:textId="7371C4B9" w:rsidR="00996968" w:rsidRDefault="00996968" w:rsidP="00996968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 xml:space="preserve">10 días hábiles, 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para un </w:t>
      </w:r>
      <w:r w:rsidR="00883610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par comuna-empresa de densidad </w:t>
      </w:r>
      <w:r w:rsidR="001E1699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baja y muy</w:t>
      </w:r>
      <w:r w:rsidR="00883610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baja.</w:t>
      </w:r>
    </w:p>
    <w:p w14:paraId="56472D84" w14:textId="70EC4251" w:rsidR="00071C87" w:rsidRDefault="00883610" w:rsidP="00996968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 xml:space="preserve">15 días hábiles, </w:t>
      </w:r>
      <w:r w:rsidR="00C56B99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para un par comuna-empresa de densidad extremadamente baja</w:t>
      </w:r>
      <w:r w:rsidR="00071C87"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</w:p>
    <w:p w14:paraId="237A1280" w14:textId="24D1B013" w:rsidR="00883610" w:rsidRPr="00071C87" w:rsidRDefault="00883610" w:rsidP="00996968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883610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La respuesta a la solicitud de factibilidad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técnica tiene una vigencia de </w:t>
      </w:r>
      <w:r w:rsidRPr="00883610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60 días hábiles</w:t>
      </w:r>
      <w:r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 xml:space="preserve">, </w:t>
      </w:r>
      <w:r w:rsidRPr="00883610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sin embargo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,</w:t>
      </w:r>
      <w:r w:rsidRPr="00883610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CGE mantendrá esta vigencia por un plazo de 6 meses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</w:p>
    <w:p w14:paraId="73667EF7" w14:textId="5548DD59" w:rsidR="00C56B99" w:rsidRPr="009F1645" w:rsidRDefault="00C56B99" w:rsidP="00071C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</w:pPr>
      <w:r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>Solicitud de Conexión o Ampliación de Servicios</w:t>
      </w:r>
    </w:p>
    <w:p w14:paraId="1C7A90B9" w14:textId="77777777" w:rsidR="001E1699" w:rsidRDefault="001E1699" w:rsidP="00C56B99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Los Requirentes podrán solicitar directamente la Conexión o Ampliación de servicio, sin disponer de una factibilidad previa, en los siguientes casos:</w:t>
      </w:r>
    </w:p>
    <w:p w14:paraId="7A2F6900" w14:textId="2649F27A" w:rsidR="00C56B99" w:rsidRDefault="001E1699" w:rsidP="001E1699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Empalmes hasta 10 kW</w:t>
      </w:r>
    </w:p>
    <w:p w14:paraId="471C559D" w14:textId="4E61017C" w:rsidR="001E1699" w:rsidRDefault="001E1699" w:rsidP="001E1699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Ampliaciones de servicio</w:t>
      </w:r>
    </w:p>
    <w:p w14:paraId="7B93D9CF" w14:textId="7FC05FCE" w:rsidR="001E1699" w:rsidRDefault="001E1699" w:rsidP="001E1699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Reposición de Empalme</w:t>
      </w:r>
    </w:p>
    <w:p w14:paraId="3103F9DE" w14:textId="77777777" w:rsidR="001E1699" w:rsidRDefault="001E1699" w:rsidP="001E1699">
      <w:pPr>
        <w:pStyle w:val="Prrafodelista"/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</w:p>
    <w:p w14:paraId="10D8A180" w14:textId="32BF266C" w:rsidR="001E1699" w:rsidRPr="001E1699" w:rsidRDefault="001E1699" w:rsidP="001E1699">
      <w:pPr>
        <w:pStyle w:val="Prrafodelista"/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Para ello el Requirente deberá adjuntar los mismos antecedentes que se describen en la Norma Técnica para solicitar la Factibilidad Técnica de Suministro.</w:t>
      </w:r>
    </w:p>
    <w:p w14:paraId="1FB05176" w14:textId="518A9372" w:rsidR="001E1699" w:rsidRDefault="009F1645" w:rsidP="001E1699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lastRenderedPageBreak/>
        <w:t>E</w:t>
      </w:r>
      <w:r w:rsidR="001E1699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n este caso, la Distribuidora tiene </w:t>
      </w:r>
      <w:r w:rsidR="001E1699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5</w:t>
      </w:r>
      <w:r w:rsidR="001E1699" w:rsidRPr="00071C87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 xml:space="preserve"> días hábiles</w:t>
      </w:r>
      <w:r w:rsidR="001E1699"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 siguientes a la recepción de la solicitud</w:t>
      </w:r>
      <w:r w:rsidR="001E1699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 informar si los antecedentes están incompletos o contienen errores.</w:t>
      </w:r>
    </w:p>
    <w:p w14:paraId="7775ABE6" w14:textId="12E86386" w:rsidR="001E1699" w:rsidRDefault="00E100FF" w:rsidP="001E1699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Los plazos de Respuesta a la solicitud de Conexión o Ampliación de servicios son los que se indican en el siguiente recuadro:</w:t>
      </w:r>
    </w:p>
    <w:p w14:paraId="1BB961E0" w14:textId="0825CF1C" w:rsidR="00E100FF" w:rsidRDefault="00C13C03" w:rsidP="001E1699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C13C03">
        <w:rPr>
          <w:rFonts w:ascii="Arial" w:eastAsia="Times New Roman" w:hAnsi="Arial" w:cs="Arial"/>
          <w:noProof/>
          <w:color w:val="001689"/>
          <w:spacing w:val="3"/>
          <w:kern w:val="0"/>
          <w:sz w:val="21"/>
          <w:szCs w:val="21"/>
          <w:lang w:eastAsia="es-CL"/>
          <w14:ligatures w14:val="none"/>
        </w:rPr>
        <w:drawing>
          <wp:inline distT="0" distB="0" distL="0" distR="0" wp14:anchorId="2D871654" wp14:editId="32704DFD">
            <wp:extent cx="5201376" cy="1867161"/>
            <wp:effectExtent l="0" t="0" r="0" b="0"/>
            <wp:docPr id="14159222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9222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1376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6B08E" w14:textId="1094E3CF" w:rsidR="00C13C03" w:rsidRDefault="00C13C03" w:rsidP="00C13C03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La respuesta a la Solicitud de Conexión o Ampliación de Servicios tendrá una </w:t>
      </w:r>
      <w:r w:rsidRPr="00C13C03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vigencia mínima de 60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, sin embargo, CGE extenderá esta vigencia por un plazo de </w:t>
      </w:r>
      <w:r w:rsidRPr="00C13C03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6 meses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</w:p>
    <w:p w14:paraId="49B60483" w14:textId="666C953D" w:rsidR="00087EDB" w:rsidRDefault="00087EDB" w:rsidP="00C13C03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Una vez que se cuente con respuesta favorable a esta solicitud, el Requirente podrá pagar, en los casos que corresponda, los costos que sean de su cargo y podrá acordar con la Distribuidora el inicio anticipado de las obras de adecuación, si las hubiere.</w:t>
      </w:r>
    </w:p>
    <w:p w14:paraId="55330D68" w14:textId="0F5CB35B" w:rsidR="00087EDB" w:rsidRDefault="00087EDB" w:rsidP="00071C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>Notificación de Conexión o Ampliación de Servicios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</w:p>
    <w:p w14:paraId="6BEA0578" w14:textId="040CED25" w:rsidR="00087EDB" w:rsidRDefault="00215FD8" w:rsidP="00087EDB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La Distribuidora dispone de </w:t>
      </w:r>
      <w:r w:rsidRPr="00215FD8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5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s</w:t>
      </w:r>
      <w:r w:rsidR="00087EDB"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iguientes a la recepción de la </w:t>
      </w:r>
      <w:r w:rsidR="00087EDB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Notificación de Conexión o Ampliación de Servicios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</w:t>
      </w:r>
      <w:r w:rsidR="00087EDB"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</w:t>
      </w:r>
      <w:r w:rsidR="00087EDB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efectuar un análisis de admisibilidad y completitud de la solicitud. En caso de rechazo, deberá informar cada uno de los antecedentes que debe corregir o completar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</w:t>
      </w:r>
      <w:r w:rsidR="00087EDB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en una nueva Notificación.</w:t>
      </w:r>
    </w:p>
    <w:p w14:paraId="198E7456" w14:textId="4A5F81DD" w:rsidR="00087EDB" w:rsidRDefault="00087EDB" w:rsidP="00087EDB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Los plazos que tiene la Distribuidora para conectar o ampliar el servicio del Requirente, se establecen en la tabla siguiente:</w:t>
      </w:r>
    </w:p>
    <w:p w14:paraId="74D95244" w14:textId="5F1EE55D" w:rsidR="00087EDB" w:rsidRDefault="00801F0D" w:rsidP="00087EDB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801F0D">
        <w:rPr>
          <w:rFonts w:ascii="Arial" w:eastAsia="Times New Roman" w:hAnsi="Arial" w:cs="Arial"/>
          <w:noProof/>
          <w:color w:val="001689"/>
          <w:spacing w:val="3"/>
          <w:kern w:val="0"/>
          <w:sz w:val="21"/>
          <w:szCs w:val="21"/>
          <w:lang w:eastAsia="es-CL"/>
          <w14:ligatures w14:val="none"/>
        </w:rPr>
        <w:drawing>
          <wp:inline distT="0" distB="0" distL="0" distR="0" wp14:anchorId="3F521932" wp14:editId="4B9D6908">
            <wp:extent cx="5210902" cy="1667108"/>
            <wp:effectExtent l="0" t="0" r="0" b="9525"/>
            <wp:docPr id="15324912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4912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1F5E3" w14:textId="7EF24E66" w:rsidR="00E273A4" w:rsidRDefault="00E273A4" w:rsidP="00087EDB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En los casos que la demanda a satisfacer sea superior a 15</w:t>
      </w:r>
      <w:r w:rsidR="00215FD8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0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kW y requiera obras adicionales, la Distribuidora podrá </w:t>
      </w:r>
      <w:r w:rsidR="00801F0D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proponer un plazo distinto, debiendo el Requirente manifestar su conformidad por escrito dentro de la vigencia de la Respuesta a la Solicitud de Conexión o Ampliación de Servicio. Si no hay acuerdo, las partes podrán recurrir a la Superintendencia.</w:t>
      </w:r>
    </w:p>
    <w:p w14:paraId="77772DA1" w14:textId="47D55208" w:rsidR="00801F0D" w:rsidRPr="00087EDB" w:rsidRDefault="00801F0D" w:rsidP="00087EDB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De manera excepcional, </w:t>
      </w:r>
      <w:r w:rsidR="00BF6A1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para un par comuna de densidad baja, muy baja o extremadamente baja, los plazos de la Tabla 19 se podrán aumentar hasta por </w:t>
      </w:r>
      <w:r w:rsidR="00BF6A15" w:rsidRPr="00BF6A15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30 días hábiles</w:t>
      </w:r>
      <w:r w:rsidR="00BF6A1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si la extensión es menor a 3 km y </w:t>
      </w:r>
      <w:r w:rsidR="00BF6A15" w:rsidRPr="00BF6A15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hasta 60 días hábiles</w:t>
      </w:r>
      <w:r w:rsidR="00BF6A1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a partir de los 3 km.</w:t>
      </w:r>
    </w:p>
    <w:p w14:paraId="3D169E5F" w14:textId="76B06B13" w:rsidR="00BF6A15" w:rsidRDefault="00BF6A15" w:rsidP="00071C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>Protocolo de Conexión para Suministros Individuales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</w:p>
    <w:p w14:paraId="0A8C6399" w14:textId="4C99CF86" w:rsidR="00BF6A15" w:rsidRDefault="00BF6A15" w:rsidP="00BF6A15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Durante la conexión o ampliación de servicios individuales, la Distribuidora debe realizar los revisiones y pruebas que permitan verificar que no existan condiciones de riesgo o transgresiones a la normativa</w:t>
      </w:r>
      <w:r w:rsidR="00490EBD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 Para ello debe completar un formulario que contiene los aspectos mínimos que deben ser chequeados, el cual además debe señalar la echa, hora y firma del técnico que representa a la Distribuidora.</w:t>
      </w:r>
    </w:p>
    <w:p w14:paraId="41B3F49F" w14:textId="723DA7C7" w:rsidR="00490EBD" w:rsidRDefault="00490EBD" w:rsidP="00BF6A15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Este formulario puede ser entregado al Requirente o propietario presente al momento de la ejecución del protocolo o si el cliente acepta y cuente con canales para recibirlo, entregado de forma digital.</w:t>
      </w:r>
    </w:p>
    <w:p w14:paraId="20FB42F0" w14:textId="0B7D51EA" w:rsidR="00490EBD" w:rsidRDefault="00490EBD" w:rsidP="00BF6A15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La Distribuidora tendrá un plazo de </w:t>
      </w:r>
      <w:r w:rsidRPr="00490EBD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15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 informar el Número de Cliente de tal forma que permita identificar el empalme y permita al Cliente hacer cualquier tipo de solicitud.</w:t>
      </w:r>
    </w:p>
    <w:p w14:paraId="24565E77" w14:textId="77777777" w:rsidR="00C35B2C" w:rsidRDefault="00C35B2C" w:rsidP="00BF6A15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</w:p>
    <w:bookmarkEnd w:id="1"/>
    <w:p w14:paraId="2B8EBD5E" w14:textId="0D7576A9" w:rsidR="00490EBD" w:rsidRPr="00071C87" w:rsidRDefault="00490EBD" w:rsidP="00490EBD">
      <w:pPr>
        <w:spacing w:after="300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>Procedimiento</w:t>
      </w:r>
      <w:r w:rsidRPr="00071C87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 la </w:t>
      </w:r>
      <w:r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>C</w:t>
      </w:r>
      <w:r w:rsidRPr="00071C87"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onexión </w:t>
      </w:r>
      <w:r>
        <w:rPr>
          <w:rFonts w:ascii="Arial" w:eastAsia="Times New Roman" w:hAnsi="Arial" w:cs="Arial"/>
          <w:b/>
          <w:bCs/>
          <w:color w:val="001689"/>
          <w:spacing w:val="3"/>
          <w:kern w:val="0"/>
          <w:sz w:val="21"/>
          <w:szCs w:val="21"/>
          <w:lang w:eastAsia="es-CL"/>
          <w14:ligatures w14:val="none"/>
        </w:rPr>
        <w:t>de Suministros Múltiples</w:t>
      </w:r>
    </w:p>
    <w:p w14:paraId="01970865" w14:textId="77777777" w:rsidR="00C35B2C" w:rsidRDefault="00C35B2C" w:rsidP="00490EBD">
      <w:pPr>
        <w:spacing w:after="300" w:line="240" w:lineRule="auto"/>
        <w:ind w:left="709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Se refiere a la conexión simultánea de varios suministros, como es el caso de condominios, conjuntos habitacionales, parcelaciones, centros comerciales, edificios de departamentos, oficinas o mixtos. </w:t>
      </w:r>
    </w:p>
    <w:p w14:paraId="735FBE82" w14:textId="77777777" w:rsidR="00C35B2C" w:rsidRDefault="00C35B2C" w:rsidP="00490EBD">
      <w:pPr>
        <w:spacing w:after="300" w:line="240" w:lineRule="auto"/>
        <w:ind w:left="709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Este tipo de requerimiento no requiere de factibilidad previa y por tanto el proceso se inicia con la Solicitud de Conexión para Suministros Múltiples.</w:t>
      </w:r>
    </w:p>
    <w:p w14:paraId="1E0388E1" w14:textId="1EADA186" w:rsidR="00490EBD" w:rsidRPr="00071C87" w:rsidRDefault="00C35B2C" w:rsidP="00490EBD">
      <w:pPr>
        <w:spacing w:after="300" w:line="240" w:lineRule="auto"/>
        <w:ind w:left="709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El proyecto de empalmes múltiples podrá ser construido por el Requirente o por terceros, de acuerdo con un proyecto aprobado por la Distribuidora. La vigencia del proyecto aprobado por la Distribuidora será de </w:t>
      </w:r>
      <w:r w:rsidRPr="00C35B2C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1 año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  <w:r w:rsidR="00490EBD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ab/>
      </w:r>
    </w:p>
    <w:p w14:paraId="00BC8600" w14:textId="1AC54037" w:rsidR="00490EBD" w:rsidRDefault="00490EBD" w:rsidP="00490E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 xml:space="preserve">Solicitud de Conexión </w:t>
      </w:r>
      <w:r w:rsidR="00C35B2C"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>para Suministros Múltiples</w:t>
      </w:r>
      <w:r w:rsidR="00C35B2C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</w:p>
    <w:p w14:paraId="64490364" w14:textId="77777777" w:rsidR="004523DC" w:rsidRDefault="004523DC" w:rsidP="004523DC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La Distribuidora dispondrá de </w:t>
      </w:r>
      <w:r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25</w:t>
      </w:r>
      <w:r w:rsidRPr="00071C87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 xml:space="preserve"> días hábiles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 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para analizar los antecedentes y realizar una visita técnica en terreno a la obra.</w:t>
      </w:r>
    </w:p>
    <w:p w14:paraId="601409B7" w14:textId="77777777" w:rsidR="004523DC" w:rsidRDefault="004523DC" w:rsidP="004523DC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Si como resultado de la visita la Distribuidora determina justificadamente la necesidad de que el Requirente corrija o entregue antecedentes adicionales, dispondrá de </w:t>
      </w:r>
      <w:r w:rsidRPr="00C531E2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10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 notificar al Requirente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, detallando los antecedentes a corregir o completar.</w:t>
      </w:r>
    </w:p>
    <w:p w14:paraId="7BC58B04" w14:textId="77777777" w:rsidR="004523DC" w:rsidRDefault="004523DC" w:rsidP="004523DC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Desde la fecha de entrega de dichos antecedentes por parte del Requirente, la Distribuidora dispondrá de </w:t>
      </w:r>
      <w:r w:rsidRPr="00C531E2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25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 dar respuesta a la Solicitud de Conexión de Suministros Múltiples.</w:t>
      </w:r>
    </w:p>
    <w:p w14:paraId="64731AFA" w14:textId="77777777" w:rsidR="004523DC" w:rsidRDefault="004523DC" w:rsidP="004523DC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Notificado el Requirente de las observaciones, dispondrá de hasta </w:t>
      </w:r>
      <w:r w:rsidRPr="00C531E2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15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 corregir o completar los antecedentes informados por la Distribuidora.</w:t>
      </w:r>
    </w:p>
    <w:p w14:paraId="7396ACF4" w14:textId="77777777" w:rsidR="00215FD8" w:rsidRDefault="00215FD8" w:rsidP="00215FD8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La respuesta a la Solicitud de Conexión para Suministros Múltiples tendrá una vigencia mínima de </w:t>
      </w:r>
      <w:r w:rsidRPr="00C531E2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60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, sin embargo, CGE extenderá la vigencia para estos proyectos a </w:t>
      </w:r>
      <w:r w:rsidRPr="00C531E2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un año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.</w:t>
      </w:r>
    </w:p>
    <w:p w14:paraId="354B8322" w14:textId="77777777" w:rsidR="004523DC" w:rsidRPr="009F1645" w:rsidRDefault="004523DC" w:rsidP="004523D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</w:pPr>
      <w:r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>Aprobación Proyecto de Empalmes Múltiples.</w:t>
      </w:r>
    </w:p>
    <w:p w14:paraId="2CF280F3" w14:textId="77777777" w:rsidR="004523DC" w:rsidRDefault="004523DC" w:rsidP="004523DC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La Distribuidora dispondrá de un plazo de </w:t>
      </w:r>
      <w:r w:rsidRPr="004523DC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20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 enviar al Requirente o a quien se disponga para interlocutor, las observaciones al proyecto de Empalmes elaborados por el Requirente o un tercero. </w:t>
      </w:r>
    </w:p>
    <w:p w14:paraId="7A8C4ABD" w14:textId="331389E2" w:rsidR="00215FD8" w:rsidRDefault="00215FD8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El Requirente por su parte, dispondrá de un plazo de hasta </w:t>
      </w:r>
      <w:r w:rsidRPr="004523DC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20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adicionales para corregir el proyecto de Empalmes. En caso de no llegar a acuerdo, las partes podrán ingresar una solicitud a la Superintendencia para que esta resuelva.</w:t>
      </w:r>
    </w:p>
    <w:p w14:paraId="5B19A3EA" w14:textId="0E5B99C8" w:rsidR="003739AD" w:rsidRDefault="003739AD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En esta etapa la Distribuidora deberá revisar las obras del proyecto y </w:t>
      </w:r>
      <w:r w:rsidR="00A83479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efectuar una recepción final de ellas. Este documento deberá ser incorporado a la documentación requerida en la etapa de Notificación de Conexión para Suministros Múltiples.</w:t>
      </w:r>
    </w:p>
    <w:p w14:paraId="76986243" w14:textId="1EF14C1F" w:rsidR="00490EBD" w:rsidRPr="009F1645" w:rsidRDefault="00490EBD" w:rsidP="00490E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</w:pPr>
      <w:r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 xml:space="preserve">Notificación de Conexión </w:t>
      </w:r>
      <w:r w:rsidR="00A83479"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>de Suministros Múltiples.</w:t>
      </w:r>
    </w:p>
    <w:p w14:paraId="4E6D7CB7" w14:textId="77777777" w:rsidR="00A83479" w:rsidRDefault="00490EBD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Dentro de los </w:t>
      </w:r>
      <w:r w:rsidR="00A83479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15</w:t>
      </w:r>
      <w:r w:rsidRPr="00071C87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 xml:space="preserve"> días hábiles</w:t>
      </w:r>
      <w:r w:rsidRPr="00071C87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 </w:t>
      </w:r>
      <w:r w:rsidR="00A83479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del ingreso de la Notificación, la Distribuidora deberá revisar los antecedentes y notificar al Requirente en caso de rechazo, ya sea que este no hubiese presentado todos los antecedentes o que los datos aportados están incompletos o contienen errores.</w:t>
      </w:r>
    </w:p>
    <w:p w14:paraId="5C6870A2" w14:textId="73F33842" w:rsidR="00010E29" w:rsidRDefault="00A83479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La Distribuidora no podrá rechazar una nueva notificación </w:t>
      </w:r>
      <w:r w:rsidR="00010E29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por razones que no hubiesen sido señaladas expresamente en el rechazo original.</w:t>
      </w:r>
    </w:p>
    <w:p w14:paraId="27681160" w14:textId="77F783BD" w:rsidR="00010E29" w:rsidRPr="009F1645" w:rsidRDefault="00010E29" w:rsidP="00010E2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</w:pPr>
      <w:r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>Plazos para la Conexión de Suministros Múltiples.</w:t>
      </w:r>
    </w:p>
    <w:p w14:paraId="33539751" w14:textId="684CFD02" w:rsidR="00010E29" w:rsidRDefault="00010E29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Los plazo</w:t>
      </w:r>
      <w:r w:rsidR="00563FCE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s para conectar los suministros múltiples se contabilizarán a partir del envío de los antecedentes establecidos en la Norma Técnica para la Notificación de Conexión y una vez que esta haya sido declarada admisible.</w:t>
      </w:r>
    </w:p>
    <w:p w14:paraId="0B03E21B" w14:textId="7520B432" w:rsidR="00490EBD" w:rsidRDefault="00563FCE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 w:rsidRPr="00563FCE">
        <w:rPr>
          <w:rFonts w:ascii="Arial" w:eastAsia="Times New Roman" w:hAnsi="Arial" w:cs="Arial"/>
          <w:noProof/>
          <w:color w:val="001689"/>
          <w:spacing w:val="3"/>
          <w:kern w:val="0"/>
          <w:sz w:val="21"/>
          <w:szCs w:val="21"/>
          <w:lang w:eastAsia="es-CL"/>
          <w14:ligatures w14:val="none"/>
        </w:rPr>
        <w:drawing>
          <wp:inline distT="0" distB="0" distL="0" distR="0" wp14:anchorId="02ADEAEA" wp14:editId="6519B326">
            <wp:extent cx="4696480" cy="1724266"/>
            <wp:effectExtent l="0" t="0" r="0" b="9525"/>
            <wp:docPr id="3399277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277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08A56" w14:textId="77777777" w:rsidR="001B7DAD" w:rsidRDefault="001B7DAD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Las excepciones que podrán modificar estos plazos son las siguientes:</w:t>
      </w:r>
    </w:p>
    <w:p w14:paraId="19754FBF" w14:textId="29C43D42" w:rsidR="001B7DAD" w:rsidRDefault="001B7DAD" w:rsidP="001B7DAD">
      <w:pPr>
        <w:spacing w:before="100" w:beforeAutospacing="1" w:after="100" w:afterAutospacing="1" w:line="240" w:lineRule="auto"/>
        <w:ind w:left="1134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Podrá aumentar en un 50% los plazos señalados si la Distribuidora recibe solicitudes que superen en un 50% al promedio de las solicitudes en una ventana de tiempo semanal de los últimos 12 meses.</w:t>
      </w:r>
    </w:p>
    <w:p w14:paraId="012C7684" w14:textId="67F2F0B8" w:rsidR="001B7DAD" w:rsidRDefault="001B7DAD" w:rsidP="001B7DAD">
      <w:pPr>
        <w:spacing w:before="100" w:beforeAutospacing="1" w:after="100" w:afterAutospacing="1" w:line="240" w:lineRule="auto"/>
        <w:ind w:left="1134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Cuando se trate de grandes potencias y en general proyectos sobre 1 MW que requieran la construcción o esfuerzos significativos, en cuyo caso Requirente y Distribuidora podrán acordar un plazo superior.</w:t>
      </w:r>
    </w:p>
    <w:p w14:paraId="444B4083" w14:textId="77777777" w:rsidR="001B7DAD" w:rsidRPr="009F1645" w:rsidRDefault="001B7DAD" w:rsidP="001B7DAD">
      <w:pPr>
        <w:spacing w:before="100" w:beforeAutospacing="1" w:after="100" w:afterAutospacing="1" w:line="240" w:lineRule="auto"/>
        <w:ind w:left="1134"/>
        <w:jc w:val="both"/>
        <w:rPr>
          <w:rFonts w:ascii="Arial" w:eastAsia="Times New Roman" w:hAnsi="Arial" w:cs="Arial"/>
          <w:color w:val="001689"/>
          <w:spacing w:val="3"/>
          <w:kern w:val="0"/>
          <w:sz w:val="12"/>
          <w:szCs w:val="12"/>
          <w:lang w:eastAsia="es-CL"/>
          <w14:ligatures w14:val="none"/>
        </w:rPr>
      </w:pPr>
    </w:p>
    <w:p w14:paraId="30CF6942" w14:textId="77777777" w:rsidR="00490EBD" w:rsidRPr="009F1645" w:rsidRDefault="00490EBD" w:rsidP="00490E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</w:pPr>
      <w:r w:rsidRPr="009F1645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u w:val="single"/>
          <w:lang w:eastAsia="es-CL"/>
          <w14:ligatures w14:val="none"/>
        </w:rPr>
        <w:t>Protocolo de Conexión para Suministros Individuales.</w:t>
      </w:r>
    </w:p>
    <w:p w14:paraId="2005D64E" w14:textId="3297A934" w:rsidR="00490EBD" w:rsidRDefault="00490EBD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Durante la conexión </w:t>
      </w:r>
      <w:r w:rsidR="001B7DAD"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de suministros múltiples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, la Distribuidora debe realizar los revisiones y pruebas que permitan verificar que no existan condiciones de riesgo o transgresiones a la normativa. Para ello debe completar un formulario que contiene los aspectos mínimos que deben ser chequeados, el cual además debe señalar la echa, hora y firma del técnico que representa a la Distribuidora.</w:t>
      </w:r>
    </w:p>
    <w:p w14:paraId="1AFB3333" w14:textId="77777777" w:rsidR="00490EBD" w:rsidRDefault="00490EBD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>Este formulario puede ser entregado al Requirente o propietario presente al momento de la ejecución del protocolo o si el cliente acepta y cuente con canales para recibirlo, entregado de forma digital.</w:t>
      </w:r>
    </w:p>
    <w:p w14:paraId="31E7DC3B" w14:textId="77777777" w:rsidR="00490EBD" w:rsidRDefault="00490EBD" w:rsidP="00490EBD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La Distribuidora tendrá un plazo de </w:t>
      </w:r>
      <w:r w:rsidRPr="00490EBD">
        <w:rPr>
          <w:rFonts w:ascii="Arial" w:eastAsia="Times New Roman" w:hAnsi="Arial" w:cs="Arial"/>
          <w:color w:val="FF6600"/>
          <w:spacing w:val="3"/>
          <w:kern w:val="0"/>
          <w:sz w:val="21"/>
          <w:szCs w:val="21"/>
          <w:lang w:eastAsia="es-CL"/>
          <w14:ligatures w14:val="none"/>
        </w:rPr>
        <w:t>15 días hábiles</w:t>
      </w:r>
      <w:r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  <w:t xml:space="preserve"> para informar el Número de Cliente de tal forma que permita identificar el empalme y permita al Cliente hacer cualquier tipo de solicitud.</w:t>
      </w:r>
    </w:p>
    <w:p w14:paraId="0E742530" w14:textId="77777777" w:rsidR="00594F84" w:rsidRDefault="00594F84" w:rsidP="00BF6A15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1689"/>
          <w:spacing w:val="3"/>
          <w:kern w:val="0"/>
          <w:sz w:val="21"/>
          <w:szCs w:val="21"/>
          <w:lang w:eastAsia="es-CL"/>
          <w14:ligatures w14:val="none"/>
        </w:rPr>
      </w:pPr>
    </w:p>
    <w:sectPr w:rsidR="00594F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605F3"/>
    <w:multiLevelType w:val="hybridMultilevel"/>
    <w:tmpl w:val="D74AAF5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54610"/>
    <w:multiLevelType w:val="multilevel"/>
    <w:tmpl w:val="52B41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C6414C"/>
    <w:multiLevelType w:val="hybridMultilevel"/>
    <w:tmpl w:val="7F7A099E"/>
    <w:lvl w:ilvl="0" w:tplc="340A0013">
      <w:start w:val="1"/>
      <w:numFmt w:val="upperRoman"/>
      <w:lvlText w:val="%1."/>
      <w:lvlJc w:val="right"/>
      <w:pPr>
        <w:ind w:left="1500" w:hanging="360"/>
      </w:pPr>
    </w:lvl>
    <w:lvl w:ilvl="1" w:tplc="340A0019" w:tentative="1">
      <w:start w:val="1"/>
      <w:numFmt w:val="lowerLetter"/>
      <w:lvlText w:val="%2."/>
      <w:lvlJc w:val="left"/>
      <w:pPr>
        <w:ind w:left="2220" w:hanging="360"/>
      </w:pPr>
    </w:lvl>
    <w:lvl w:ilvl="2" w:tplc="340A001B" w:tentative="1">
      <w:start w:val="1"/>
      <w:numFmt w:val="lowerRoman"/>
      <w:lvlText w:val="%3."/>
      <w:lvlJc w:val="right"/>
      <w:pPr>
        <w:ind w:left="2940" w:hanging="180"/>
      </w:pPr>
    </w:lvl>
    <w:lvl w:ilvl="3" w:tplc="340A000F" w:tentative="1">
      <w:start w:val="1"/>
      <w:numFmt w:val="decimal"/>
      <w:lvlText w:val="%4."/>
      <w:lvlJc w:val="left"/>
      <w:pPr>
        <w:ind w:left="3660" w:hanging="360"/>
      </w:pPr>
    </w:lvl>
    <w:lvl w:ilvl="4" w:tplc="340A0019" w:tentative="1">
      <w:start w:val="1"/>
      <w:numFmt w:val="lowerLetter"/>
      <w:lvlText w:val="%5."/>
      <w:lvlJc w:val="left"/>
      <w:pPr>
        <w:ind w:left="4380" w:hanging="360"/>
      </w:pPr>
    </w:lvl>
    <w:lvl w:ilvl="5" w:tplc="340A001B" w:tentative="1">
      <w:start w:val="1"/>
      <w:numFmt w:val="lowerRoman"/>
      <w:lvlText w:val="%6."/>
      <w:lvlJc w:val="right"/>
      <w:pPr>
        <w:ind w:left="5100" w:hanging="180"/>
      </w:pPr>
    </w:lvl>
    <w:lvl w:ilvl="6" w:tplc="340A000F" w:tentative="1">
      <w:start w:val="1"/>
      <w:numFmt w:val="decimal"/>
      <w:lvlText w:val="%7."/>
      <w:lvlJc w:val="left"/>
      <w:pPr>
        <w:ind w:left="5820" w:hanging="360"/>
      </w:pPr>
    </w:lvl>
    <w:lvl w:ilvl="7" w:tplc="340A0019" w:tentative="1">
      <w:start w:val="1"/>
      <w:numFmt w:val="lowerLetter"/>
      <w:lvlText w:val="%8."/>
      <w:lvlJc w:val="left"/>
      <w:pPr>
        <w:ind w:left="6540" w:hanging="360"/>
      </w:pPr>
    </w:lvl>
    <w:lvl w:ilvl="8" w:tplc="34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4C784B34"/>
    <w:multiLevelType w:val="hybridMultilevel"/>
    <w:tmpl w:val="AFCA6D72"/>
    <w:lvl w:ilvl="0" w:tplc="B76AFA42">
      <w:start w:val="9"/>
      <w:numFmt w:val="bullet"/>
      <w:lvlText w:val="-"/>
      <w:lvlJc w:val="left"/>
      <w:pPr>
        <w:ind w:left="2160" w:hanging="360"/>
      </w:pPr>
      <w:rPr>
        <w:rFonts w:ascii="Arial Black" w:eastAsiaTheme="minorHAnsi" w:hAnsi="Arial Black" w:cstheme="minorBidi" w:hint="default"/>
        <w:color w:val="074F6A" w:themeColor="accent4" w:themeShade="80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30372E5"/>
    <w:multiLevelType w:val="multilevel"/>
    <w:tmpl w:val="F99C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5E3F8C"/>
    <w:multiLevelType w:val="hybridMultilevel"/>
    <w:tmpl w:val="3580BCB8"/>
    <w:lvl w:ilvl="0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3ED2D79"/>
    <w:multiLevelType w:val="multilevel"/>
    <w:tmpl w:val="4B8A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1451197">
    <w:abstractNumId w:val="1"/>
  </w:num>
  <w:num w:numId="2" w16cid:durableId="852886199">
    <w:abstractNumId w:val="6"/>
  </w:num>
  <w:num w:numId="3" w16cid:durableId="908882534">
    <w:abstractNumId w:val="4"/>
  </w:num>
  <w:num w:numId="4" w16cid:durableId="1939171482">
    <w:abstractNumId w:val="2"/>
  </w:num>
  <w:num w:numId="5" w16cid:durableId="1551307483">
    <w:abstractNumId w:val="0"/>
  </w:num>
  <w:num w:numId="6" w16cid:durableId="191917199">
    <w:abstractNumId w:val="5"/>
  </w:num>
  <w:num w:numId="7" w16cid:durableId="2455055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C87"/>
    <w:rsid w:val="00010E29"/>
    <w:rsid w:val="00071C87"/>
    <w:rsid w:val="00087EDB"/>
    <w:rsid w:val="000A1987"/>
    <w:rsid w:val="001B7DAD"/>
    <w:rsid w:val="001E1699"/>
    <w:rsid w:val="00215FD8"/>
    <w:rsid w:val="003739AD"/>
    <w:rsid w:val="003B5D43"/>
    <w:rsid w:val="004523DC"/>
    <w:rsid w:val="00490EBD"/>
    <w:rsid w:val="00563FCE"/>
    <w:rsid w:val="00594F84"/>
    <w:rsid w:val="00801F0D"/>
    <w:rsid w:val="00883610"/>
    <w:rsid w:val="00940144"/>
    <w:rsid w:val="00967BF7"/>
    <w:rsid w:val="009904CA"/>
    <w:rsid w:val="00996968"/>
    <w:rsid w:val="009E0C41"/>
    <w:rsid w:val="009F1645"/>
    <w:rsid w:val="00A83479"/>
    <w:rsid w:val="00BF5F5A"/>
    <w:rsid w:val="00BF6A15"/>
    <w:rsid w:val="00C13C03"/>
    <w:rsid w:val="00C33162"/>
    <w:rsid w:val="00C35B2C"/>
    <w:rsid w:val="00C531E2"/>
    <w:rsid w:val="00C56B99"/>
    <w:rsid w:val="00C87348"/>
    <w:rsid w:val="00E100FF"/>
    <w:rsid w:val="00E273A4"/>
    <w:rsid w:val="00E52B91"/>
    <w:rsid w:val="00E65F8A"/>
    <w:rsid w:val="00EC0530"/>
    <w:rsid w:val="00F43A6B"/>
    <w:rsid w:val="00F7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BFCF"/>
  <w15:chartTrackingRefBased/>
  <w15:docId w15:val="{98854289-906A-480B-B469-FC0E6C50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D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1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2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1309">
          <w:marLeft w:val="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1406</Words>
  <Characters>7739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    Aspectos Generales</vt:lpstr>
      <vt:lpstr>    </vt:lpstr>
      <vt:lpstr>    </vt:lpstr>
    </vt:vector>
  </TitlesOfParts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Daniel Cerda Benecett</dc:creator>
  <cp:keywords/>
  <dc:description/>
  <cp:lastModifiedBy>Mauricio Daniel Cerda Benecett</cp:lastModifiedBy>
  <cp:revision>2</cp:revision>
  <cp:lastPrinted>2025-11-05T13:01:00Z</cp:lastPrinted>
  <dcterms:created xsi:type="dcterms:W3CDTF">2025-11-07T01:06:00Z</dcterms:created>
  <dcterms:modified xsi:type="dcterms:W3CDTF">2025-11-07T01:06:00Z</dcterms:modified>
</cp:coreProperties>
</file>